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7F488" w14:textId="77777777" w:rsidR="003C77CA" w:rsidRPr="00AB6AA7" w:rsidRDefault="003C77CA" w:rsidP="003C77CA">
      <w:pPr>
        <w:pStyle w:val="Titre1"/>
        <w:jc w:val="center"/>
        <w:rPr>
          <w:lang w:val="en-GB"/>
        </w:rPr>
      </w:pPr>
      <w:bookmarkStart w:id="0" w:name="_Toc464474233"/>
      <w:bookmarkStart w:id="1" w:name="_GoBack"/>
      <w:bookmarkEnd w:id="1"/>
      <w:r w:rsidRPr="00453E1D">
        <w:rPr>
          <w:noProof/>
          <w:lang w:val="fr-CA" w:eastAsia="fr-CA" w:bidi="ar-SA"/>
        </w:rPr>
        <w:drawing>
          <wp:anchor distT="0" distB="0" distL="114300" distR="114300" simplePos="0" relativeHeight="251658240" behindDoc="0" locked="0" layoutInCell="1" allowOverlap="1" wp14:anchorId="3EA1FFD9" wp14:editId="67E0F9F4">
            <wp:simplePos x="0" y="0"/>
            <wp:positionH relativeFrom="column">
              <wp:posOffset>1924050</wp:posOffset>
            </wp:positionH>
            <wp:positionV relativeFrom="paragraph">
              <wp:posOffset>-717550</wp:posOffset>
            </wp:positionV>
            <wp:extent cx="2014220" cy="1158240"/>
            <wp:effectExtent l="0" t="0" r="5080" b="381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ngWatch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4220" cy="1158240"/>
                    </a:xfrm>
                    <a:prstGeom prst="rect">
                      <a:avLst/>
                    </a:prstGeom>
                  </pic:spPr>
                </pic:pic>
              </a:graphicData>
            </a:graphic>
          </wp:anchor>
        </w:drawing>
      </w:r>
      <w:bookmarkEnd w:id="0"/>
    </w:p>
    <w:p w14:paraId="293CB4EA" w14:textId="77777777" w:rsidR="004B09BB" w:rsidRPr="00AB6AA7" w:rsidRDefault="004B09BB" w:rsidP="00E81B25">
      <w:pPr>
        <w:pStyle w:val="Titre1"/>
        <w:rPr>
          <w:b w:val="0"/>
          <w:lang w:val="en-GB"/>
        </w:rPr>
      </w:pPr>
      <w:bookmarkStart w:id="2" w:name="_Toc464474234"/>
      <w:r w:rsidRPr="00AB6AA7">
        <w:rPr>
          <w:lang w:val="en-GB"/>
        </w:rPr>
        <w:t>The Lawsuit</w:t>
      </w:r>
      <w:bookmarkEnd w:id="2"/>
    </w:p>
    <w:p w14:paraId="18F52EA2"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MiningWatch Canada filing a private prosecution to lay charges against the BC Go</w:t>
      </w:r>
      <w:r w:rsidR="00F74397" w:rsidRPr="00AB6AA7">
        <w:rPr>
          <w:rFonts w:ascii="Arial" w:hAnsi="Arial"/>
          <w:sz w:val="20"/>
          <w:szCs w:val="20"/>
          <w:lang w:val="en-GB"/>
        </w:rPr>
        <w:t>vernment and Mount Polley Mine</w:t>
      </w:r>
      <w:r w:rsidRPr="00AB6AA7">
        <w:rPr>
          <w:rFonts w:ascii="Arial" w:hAnsi="Arial"/>
          <w:sz w:val="20"/>
          <w:szCs w:val="20"/>
          <w:lang w:val="en-GB"/>
        </w:rPr>
        <w:t xml:space="preserve"> Corporation for </w:t>
      </w:r>
      <w:r w:rsidR="00F74397" w:rsidRPr="00AB6AA7">
        <w:rPr>
          <w:rFonts w:ascii="Arial" w:hAnsi="Arial"/>
          <w:sz w:val="20"/>
          <w:szCs w:val="20"/>
          <w:lang w:val="en-GB"/>
        </w:rPr>
        <w:t>violations of the</w:t>
      </w:r>
      <w:r w:rsidRPr="00AB6AA7">
        <w:rPr>
          <w:rFonts w:ascii="Arial" w:hAnsi="Arial"/>
          <w:sz w:val="20"/>
          <w:szCs w:val="20"/>
          <w:lang w:val="en-GB"/>
        </w:rPr>
        <w:t xml:space="preserve"> Canadian </w:t>
      </w:r>
      <w:r w:rsidRPr="00AB6AA7">
        <w:rPr>
          <w:rFonts w:ascii="Arial" w:hAnsi="Arial"/>
          <w:iCs/>
          <w:sz w:val="20"/>
          <w:szCs w:val="20"/>
          <w:lang w:val="en-GB"/>
        </w:rPr>
        <w:t>Fisheries Act</w:t>
      </w:r>
      <w:r w:rsidR="00F74397" w:rsidRPr="00AB6AA7">
        <w:rPr>
          <w:rFonts w:ascii="Arial" w:hAnsi="Arial"/>
          <w:iCs/>
          <w:sz w:val="20"/>
          <w:szCs w:val="20"/>
          <w:lang w:val="en-GB"/>
        </w:rPr>
        <w:t xml:space="preserve"> in connection with the 2014 tailings pond disaster</w:t>
      </w:r>
    </w:p>
    <w:p w14:paraId="110AAF9E" w14:textId="77777777" w:rsidR="004B09BB" w:rsidRPr="00AB6AA7" w:rsidRDefault="004B09BB" w:rsidP="001D6704">
      <w:pPr>
        <w:rPr>
          <w:rFonts w:ascii="Arial" w:hAnsi="Arial"/>
          <w:sz w:val="20"/>
          <w:szCs w:val="20"/>
          <w:lang w:val="en-GB"/>
        </w:rPr>
      </w:pPr>
    </w:p>
    <w:sdt>
      <w:sdtPr>
        <w:rPr>
          <w:rFonts w:ascii="Times New Roman" w:eastAsia="SimSun" w:hAnsi="Times New Roman" w:cs="Arial"/>
          <w:color w:val="auto"/>
          <w:kern w:val="1"/>
          <w:sz w:val="24"/>
          <w:szCs w:val="24"/>
          <w:lang w:val="en-GB" w:eastAsia="hi-IN" w:bidi="hi-IN"/>
        </w:rPr>
        <w:id w:val="564759822"/>
        <w:docPartObj>
          <w:docPartGallery w:val="Table of Contents"/>
          <w:docPartUnique/>
        </w:docPartObj>
      </w:sdtPr>
      <w:sdtEndPr>
        <w:rPr>
          <w:b/>
          <w:bCs/>
        </w:rPr>
      </w:sdtEndPr>
      <w:sdtContent>
        <w:p w14:paraId="6200096A" w14:textId="77777777" w:rsidR="008773A7" w:rsidRPr="00AB6AA7" w:rsidRDefault="008773A7" w:rsidP="008773A7">
          <w:pPr>
            <w:pStyle w:val="En-ttedetabledesmatires"/>
            <w:rPr>
              <w:b/>
              <w:noProof/>
              <w:color w:val="auto"/>
              <w:lang w:val="en-GB"/>
            </w:rPr>
          </w:pPr>
          <w:r w:rsidRPr="00AB6AA7">
            <w:rPr>
              <w:b/>
              <w:color w:val="auto"/>
              <w:lang w:val="en-GB"/>
            </w:rPr>
            <w:t>Table of Content</w:t>
          </w:r>
          <w:r w:rsidR="00254E74" w:rsidRPr="00AB6AA7">
            <w:rPr>
              <w:b/>
              <w:color w:val="auto"/>
              <w:lang w:val="en-GB"/>
            </w:rPr>
            <w:t>s</w:t>
          </w:r>
          <w:r w:rsidRPr="00AB6AA7">
            <w:rPr>
              <w:color w:val="auto"/>
              <w:lang w:val="en-GB"/>
            </w:rPr>
            <w:fldChar w:fldCharType="begin"/>
          </w:r>
          <w:r w:rsidRPr="00AB6AA7">
            <w:rPr>
              <w:color w:val="auto"/>
              <w:lang w:val="en-GB"/>
            </w:rPr>
            <w:instrText xml:space="preserve"> TOC \o "1-3" \h \z \u </w:instrText>
          </w:r>
          <w:r w:rsidRPr="00AB6AA7">
            <w:rPr>
              <w:color w:val="auto"/>
              <w:lang w:val="en-GB"/>
            </w:rPr>
            <w:fldChar w:fldCharType="separate"/>
          </w:r>
        </w:p>
        <w:p w14:paraId="367614DE" w14:textId="07BF90F5"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35" w:history="1">
            <w:r w:rsidR="008773A7" w:rsidRPr="00AB6AA7">
              <w:rPr>
                <w:rStyle w:val="Lienhypertexte"/>
                <w:noProof/>
                <w:color w:val="auto"/>
                <w:lang w:val="en-GB"/>
              </w:rPr>
              <w:t>Summary</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_Toc464474235 \h </w:instrText>
            </w:r>
            <w:r w:rsidR="008773A7" w:rsidRPr="00AB6AA7">
              <w:rPr>
                <w:noProof/>
                <w:webHidden/>
                <w:lang w:val="en-GB"/>
              </w:rPr>
            </w:r>
            <w:r w:rsidR="008773A7" w:rsidRPr="00AB6AA7">
              <w:rPr>
                <w:noProof/>
                <w:webHidden/>
                <w:lang w:val="en-GB"/>
              </w:rPr>
              <w:fldChar w:fldCharType="separate"/>
            </w:r>
            <w:r w:rsidR="00D24EFE">
              <w:rPr>
                <w:noProof/>
                <w:webHidden/>
                <w:lang w:val="en-GB"/>
              </w:rPr>
              <w:t>1</w:t>
            </w:r>
            <w:r w:rsidR="008773A7" w:rsidRPr="00AB6AA7">
              <w:rPr>
                <w:noProof/>
                <w:webHidden/>
                <w:lang w:val="en-GB"/>
              </w:rPr>
              <w:fldChar w:fldCharType="end"/>
            </w:r>
          </w:hyperlink>
        </w:p>
        <w:p w14:paraId="6B0B5346" w14:textId="69500E8C"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36" w:history="1">
            <w:r w:rsidR="008773A7" w:rsidRPr="00AB6AA7">
              <w:rPr>
                <w:rStyle w:val="Lienhypertexte"/>
                <w:noProof/>
                <w:color w:val="auto"/>
                <w:lang w:val="en-GB"/>
              </w:rPr>
              <w:t>The Lawyers</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_Toc464474236 \h </w:instrText>
            </w:r>
            <w:r w:rsidR="008773A7" w:rsidRPr="00AB6AA7">
              <w:rPr>
                <w:noProof/>
                <w:webHidden/>
                <w:lang w:val="en-GB"/>
              </w:rPr>
            </w:r>
            <w:r w:rsidR="008773A7" w:rsidRPr="00AB6AA7">
              <w:rPr>
                <w:noProof/>
                <w:webHidden/>
                <w:lang w:val="en-GB"/>
              </w:rPr>
              <w:fldChar w:fldCharType="separate"/>
            </w:r>
            <w:r w:rsidR="00D24EFE">
              <w:rPr>
                <w:noProof/>
                <w:webHidden/>
                <w:lang w:val="en-GB"/>
              </w:rPr>
              <w:t>2</w:t>
            </w:r>
            <w:r w:rsidR="008773A7" w:rsidRPr="00AB6AA7">
              <w:rPr>
                <w:noProof/>
                <w:webHidden/>
                <w:lang w:val="en-GB"/>
              </w:rPr>
              <w:fldChar w:fldCharType="end"/>
            </w:r>
          </w:hyperlink>
        </w:p>
        <w:p w14:paraId="2C86A156" w14:textId="1E507DDA"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37" w:history="1">
            <w:r w:rsidR="008773A7" w:rsidRPr="00AB6AA7">
              <w:rPr>
                <w:rStyle w:val="Lienhypertexte"/>
                <w:noProof/>
                <w:color w:val="auto"/>
                <w:lang w:val="en-GB"/>
              </w:rPr>
              <w:t>1. Factual Background</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_Toc464474237 \h </w:instrText>
            </w:r>
            <w:r w:rsidR="008773A7" w:rsidRPr="00AB6AA7">
              <w:rPr>
                <w:noProof/>
                <w:webHidden/>
                <w:lang w:val="en-GB"/>
              </w:rPr>
            </w:r>
            <w:r w:rsidR="008773A7" w:rsidRPr="00AB6AA7">
              <w:rPr>
                <w:noProof/>
                <w:webHidden/>
                <w:lang w:val="en-GB"/>
              </w:rPr>
              <w:fldChar w:fldCharType="separate"/>
            </w:r>
            <w:r w:rsidR="00D24EFE">
              <w:rPr>
                <w:noProof/>
                <w:webHidden/>
                <w:lang w:val="en-GB"/>
              </w:rPr>
              <w:t>2</w:t>
            </w:r>
            <w:r w:rsidR="008773A7" w:rsidRPr="00AB6AA7">
              <w:rPr>
                <w:noProof/>
                <w:webHidden/>
                <w:lang w:val="en-GB"/>
              </w:rPr>
              <w:fldChar w:fldCharType="end"/>
            </w:r>
          </w:hyperlink>
        </w:p>
        <w:p w14:paraId="43E8324A" w14:textId="2BCE32FC"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38" w:history="1">
            <w:r w:rsidR="008773A7" w:rsidRPr="00AB6AA7">
              <w:rPr>
                <w:rStyle w:val="Lienhypertexte"/>
                <w:noProof/>
                <w:color w:val="auto"/>
                <w:lang w:val="en-GB"/>
              </w:rPr>
              <w:t>2. Section 35(1) Fisheries Act: ‘Serious Harm to Fish’</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_Toc464474238 \h </w:instrText>
            </w:r>
            <w:r w:rsidR="008773A7" w:rsidRPr="00AB6AA7">
              <w:rPr>
                <w:noProof/>
                <w:webHidden/>
                <w:lang w:val="en-GB"/>
              </w:rPr>
            </w:r>
            <w:r w:rsidR="008773A7" w:rsidRPr="00AB6AA7">
              <w:rPr>
                <w:noProof/>
                <w:webHidden/>
                <w:lang w:val="en-GB"/>
              </w:rPr>
              <w:fldChar w:fldCharType="separate"/>
            </w:r>
            <w:r w:rsidR="00D24EFE">
              <w:rPr>
                <w:noProof/>
                <w:webHidden/>
                <w:lang w:val="en-GB"/>
              </w:rPr>
              <w:t>4</w:t>
            </w:r>
            <w:r w:rsidR="008773A7" w:rsidRPr="00AB6AA7">
              <w:rPr>
                <w:noProof/>
                <w:webHidden/>
                <w:lang w:val="en-GB"/>
              </w:rPr>
              <w:fldChar w:fldCharType="end"/>
            </w:r>
          </w:hyperlink>
        </w:p>
        <w:p w14:paraId="3DDE16C0" w14:textId="579887DF"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39" w:history="1">
            <w:r w:rsidR="008773A7" w:rsidRPr="00AB6AA7">
              <w:rPr>
                <w:rStyle w:val="Lienhypertexte"/>
                <w:noProof/>
                <w:color w:val="auto"/>
                <w:lang w:val="en-GB"/>
              </w:rPr>
              <w:t>3. Section 36(3) Fisheries Act: ‘Deleterious Substances’</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_Toc464474239 \h </w:instrText>
            </w:r>
            <w:r w:rsidR="008773A7" w:rsidRPr="00AB6AA7">
              <w:rPr>
                <w:noProof/>
                <w:webHidden/>
                <w:lang w:val="en-GB"/>
              </w:rPr>
            </w:r>
            <w:r w:rsidR="008773A7" w:rsidRPr="00AB6AA7">
              <w:rPr>
                <w:noProof/>
                <w:webHidden/>
                <w:lang w:val="en-GB"/>
              </w:rPr>
              <w:fldChar w:fldCharType="separate"/>
            </w:r>
            <w:r w:rsidR="00D24EFE">
              <w:rPr>
                <w:noProof/>
                <w:webHidden/>
                <w:lang w:val="en-GB"/>
              </w:rPr>
              <w:t>5</w:t>
            </w:r>
            <w:r w:rsidR="008773A7" w:rsidRPr="00AB6AA7">
              <w:rPr>
                <w:noProof/>
                <w:webHidden/>
                <w:lang w:val="en-GB"/>
              </w:rPr>
              <w:fldChar w:fldCharType="end"/>
            </w:r>
          </w:hyperlink>
        </w:p>
        <w:p w14:paraId="0C1BA3BD" w14:textId="0B629C1A"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40" w:history="1">
            <w:r w:rsidR="008773A7" w:rsidRPr="00AB6AA7">
              <w:rPr>
                <w:rStyle w:val="Lienhypertexte"/>
                <w:noProof/>
                <w:color w:val="auto"/>
                <w:lang w:val="en-GB"/>
              </w:rPr>
              <w:t>4. Section 78.6 Fisheries Act: ‘Defense of Due Diligence’?</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_Toc464474240 \h </w:instrText>
            </w:r>
            <w:r w:rsidR="008773A7" w:rsidRPr="00AB6AA7">
              <w:rPr>
                <w:noProof/>
                <w:webHidden/>
                <w:lang w:val="en-GB"/>
              </w:rPr>
            </w:r>
            <w:r w:rsidR="008773A7" w:rsidRPr="00AB6AA7">
              <w:rPr>
                <w:noProof/>
                <w:webHidden/>
                <w:lang w:val="en-GB"/>
              </w:rPr>
              <w:fldChar w:fldCharType="separate"/>
            </w:r>
            <w:r w:rsidR="00D24EFE">
              <w:rPr>
                <w:noProof/>
                <w:webHidden/>
                <w:lang w:val="en-GB"/>
              </w:rPr>
              <w:t>7</w:t>
            </w:r>
            <w:r w:rsidR="008773A7" w:rsidRPr="00AB6AA7">
              <w:rPr>
                <w:noProof/>
                <w:webHidden/>
                <w:lang w:val="en-GB"/>
              </w:rPr>
              <w:fldChar w:fldCharType="end"/>
            </w:r>
          </w:hyperlink>
        </w:p>
        <w:p w14:paraId="1B6530ED" w14:textId="499A1256"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41" w:history="1">
            <w:r w:rsidR="008773A7" w:rsidRPr="00AB6AA7">
              <w:rPr>
                <w:rStyle w:val="Lienhypertexte"/>
                <w:noProof/>
                <w:color w:val="auto"/>
                <w:lang w:val="en-GB"/>
              </w:rPr>
              <w:t>5. The BC Government as Co-responsible for the Spill?</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_Toc464474241 \h </w:instrText>
            </w:r>
            <w:r w:rsidR="008773A7" w:rsidRPr="00AB6AA7">
              <w:rPr>
                <w:noProof/>
                <w:webHidden/>
                <w:lang w:val="en-GB"/>
              </w:rPr>
            </w:r>
            <w:r w:rsidR="008773A7" w:rsidRPr="00AB6AA7">
              <w:rPr>
                <w:noProof/>
                <w:webHidden/>
                <w:lang w:val="en-GB"/>
              </w:rPr>
              <w:fldChar w:fldCharType="separate"/>
            </w:r>
            <w:r w:rsidR="00D24EFE">
              <w:rPr>
                <w:noProof/>
                <w:webHidden/>
                <w:lang w:val="en-GB"/>
              </w:rPr>
              <w:t>10</w:t>
            </w:r>
            <w:r w:rsidR="008773A7" w:rsidRPr="00AB6AA7">
              <w:rPr>
                <w:noProof/>
                <w:webHidden/>
                <w:lang w:val="en-GB"/>
              </w:rPr>
              <w:fldChar w:fldCharType="end"/>
            </w:r>
          </w:hyperlink>
        </w:p>
        <w:p w14:paraId="1412AE78" w14:textId="66E50D17"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42" w:history="1">
            <w:r w:rsidR="008773A7" w:rsidRPr="00AB6AA7">
              <w:rPr>
                <w:rStyle w:val="Lienhypertexte"/>
                <w:noProof/>
                <w:color w:val="auto"/>
                <w:lang w:val="en-GB"/>
              </w:rPr>
              <w:t>6. Private Prosecution under the Fisheries Act</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_Toc464474242 \h </w:instrText>
            </w:r>
            <w:r w:rsidR="008773A7" w:rsidRPr="00AB6AA7">
              <w:rPr>
                <w:noProof/>
                <w:webHidden/>
                <w:lang w:val="en-GB"/>
              </w:rPr>
            </w:r>
            <w:r w:rsidR="008773A7" w:rsidRPr="00AB6AA7">
              <w:rPr>
                <w:noProof/>
                <w:webHidden/>
                <w:lang w:val="en-GB"/>
              </w:rPr>
              <w:fldChar w:fldCharType="separate"/>
            </w:r>
            <w:r w:rsidR="00D24EFE">
              <w:rPr>
                <w:noProof/>
                <w:webHidden/>
                <w:lang w:val="en-GB"/>
              </w:rPr>
              <w:t>11</w:t>
            </w:r>
            <w:r w:rsidR="008773A7" w:rsidRPr="00AB6AA7">
              <w:rPr>
                <w:noProof/>
                <w:webHidden/>
                <w:lang w:val="en-GB"/>
              </w:rPr>
              <w:fldChar w:fldCharType="end"/>
            </w:r>
          </w:hyperlink>
        </w:p>
        <w:p w14:paraId="2BBBF82E" w14:textId="416FECEC"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43" w:history="1">
            <w:r w:rsidR="008773A7" w:rsidRPr="00AB6AA7">
              <w:rPr>
                <w:rStyle w:val="Lienhypertexte"/>
                <w:noProof/>
                <w:color w:val="auto"/>
                <w:lang w:val="en-GB"/>
              </w:rPr>
              <w:t>7. Potential Sanctions &amp; Penalties</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_Toc464474243 \h </w:instrText>
            </w:r>
            <w:r w:rsidR="008773A7" w:rsidRPr="00AB6AA7">
              <w:rPr>
                <w:noProof/>
                <w:webHidden/>
                <w:lang w:val="en-GB"/>
              </w:rPr>
            </w:r>
            <w:r w:rsidR="008773A7" w:rsidRPr="00AB6AA7">
              <w:rPr>
                <w:noProof/>
                <w:webHidden/>
                <w:lang w:val="en-GB"/>
              </w:rPr>
              <w:fldChar w:fldCharType="separate"/>
            </w:r>
            <w:r w:rsidR="00D24EFE">
              <w:rPr>
                <w:noProof/>
                <w:webHidden/>
                <w:lang w:val="en-GB"/>
              </w:rPr>
              <w:t>12</w:t>
            </w:r>
            <w:r w:rsidR="008773A7" w:rsidRPr="00AB6AA7">
              <w:rPr>
                <w:noProof/>
                <w:webHidden/>
                <w:lang w:val="en-GB"/>
              </w:rPr>
              <w:fldChar w:fldCharType="end"/>
            </w:r>
          </w:hyperlink>
        </w:p>
        <w:p w14:paraId="652CB43B" w14:textId="258F5713" w:rsidR="008773A7" w:rsidRPr="00AB6AA7" w:rsidRDefault="00BB172C">
          <w:pPr>
            <w:pStyle w:val="TM2"/>
            <w:rPr>
              <w:rFonts w:asciiTheme="minorHAnsi" w:eastAsiaTheme="minorEastAsia" w:hAnsiTheme="minorHAnsi" w:cstheme="minorBidi"/>
              <w:noProof/>
              <w:kern w:val="0"/>
              <w:sz w:val="22"/>
              <w:szCs w:val="22"/>
              <w:lang w:val="en-GB" w:eastAsia="fr-CA" w:bidi="ar-SA"/>
            </w:rPr>
          </w:pPr>
          <w:hyperlink w:anchor="_Toc464474244" w:history="1">
            <w:r w:rsidR="008773A7" w:rsidRPr="00AB6AA7">
              <w:rPr>
                <w:rStyle w:val="Lienhypertexte"/>
                <w:noProof/>
                <w:color w:val="auto"/>
                <w:lang w:val="en-GB"/>
              </w:rPr>
              <w:t>8. Main References</w:t>
            </w:r>
            <w:r w:rsidR="008773A7" w:rsidRPr="00AB6AA7">
              <w:rPr>
                <w:noProof/>
                <w:webHidden/>
                <w:lang w:val="en-GB"/>
              </w:rPr>
              <w:tab/>
            </w:r>
            <w:r w:rsidR="008773A7" w:rsidRPr="00AB6AA7">
              <w:rPr>
                <w:noProof/>
                <w:webHidden/>
                <w:lang w:val="en-GB"/>
              </w:rPr>
              <w:fldChar w:fldCharType="begin"/>
            </w:r>
            <w:r w:rsidR="008773A7" w:rsidRPr="00AB6AA7">
              <w:rPr>
                <w:noProof/>
                <w:webHidden/>
                <w:lang w:val="en-GB"/>
              </w:rPr>
              <w:instrText xml:space="preserve"> PAGEREF _Toc464474244 \h </w:instrText>
            </w:r>
            <w:r w:rsidR="008773A7" w:rsidRPr="00AB6AA7">
              <w:rPr>
                <w:noProof/>
                <w:webHidden/>
                <w:lang w:val="en-GB"/>
              </w:rPr>
            </w:r>
            <w:r w:rsidR="008773A7" w:rsidRPr="00AB6AA7">
              <w:rPr>
                <w:noProof/>
                <w:webHidden/>
                <w:lang w:val="en-GB"/>
              </w:rPr>
              <w:fldChar w:fldCharType="separate"/>
            </w:r>
            <w:r w:rsidR="00D24EFE">
              <w:rPr>
                <w:noProof/>
                <w:webHidden/>
                <w:lang w:val="en-GB"/>
              </w:rPr>
              <w:t>12</w:t>
            </w:r>
            <w:r w:rsidR="008773A7" w:rsidRPr="00AB6AA7">
              <w:rPr>
                <w:noProof/>
                <w:webHidden/>
                <w:lang w:val="en-GB"/>
              </w:rPr>
              <w:fldChar w:fldCharType="end"/>
            </w:r>
          </w:hyperlink>
        </w:p>
        <w:p w14:paraId="7F0B2C1F" w14:textId="77777777" w:rsidR="008773A7" w:rsidRPr="00AB6AA7" w:rsidRDefault="008773A7">
          <w:pPr>
            <w:rPr>
              <w:lang w:val="en-GB"/>
            </w:rPr>
          </w:pPr>
          <w:r w:rsidRPr="00AB6AA7">
            <w:rPr>
              <w:b/>
              <w:bCs/>
              <w:lang w:val="en-GB"/>
            </w:rPr>
            <w:fldChar w:fldCharType="end"/>
          </w:r>
        </w:p>
      </w:sdtContent>
    </w:sdt>
    <w:p w14:paraId="6AA8A8A8" w14:textId="77777777" w:rsidR="008773A7" w:rsidRPr="00AB6AA7" w:rsidRDefault="008773A7" w:rsidP="001D6704">
      <w:pPr>
        <w:rPr>
          <w:rFonts w:ascii="Arial" w:hAnsi="Arial"/>
          <w:sz w:val="20"/>
          <w:szCs w:val="20"/>
          <w:lang w:val="en-GB"/>
        </w:rPr>
      </w:pPr>
    </w:p>
    <w:p w14:paraId="635B178F" w14:textId="77777777" w:rsidR="004B09BB" w:rsidRPr="00AB6AA7" w:rsidRDefault="004B09BB" w:rsidP="00E81B25">
      <w:pPr>
        <w:pStyle w:val="Titre2"/>
        <w:rPr>
          <w:lang w:val="en-GB"/>
        </w:rPr>
      </w:pPr>
      <w:bookmarkStart w:id="3" w:name="_Toc464474235"/>
      <w:r w:rsidRPr="00AB6AA7">
        <w:rPr>
          <w:lang w:val="en-GB"/>
        </w:rPr>
        <w:t>Summary</w:t>
      </w:r>
      <w:bookmarkEnd w:id="3"/>
    </w:p>
    <w:p w14:paraId="38A3C3AF" w14:textId="77777777" w:rsidR="00F74397" w:rsidRPr="00AB6AA7" w:rsidRDefault="00F74397" w:rsidP="00F74397">
      <w:pPr>
        <w:rPr>
          <w:rFonts w:ascii="Arial" w:hAnsi="Arial"/>
          <w:sz w:val="20"/>
          <w:szCs w:val="20"/>
          <w:lang w:val="en-GB"/>
        </w:rPr>
      </w:pPr>
    </w:p>
    <w:p w14:paraId="7D96D847" w14:textId="7BB71050" w:rsidR="00F74397" w:rsidRPr="00AB6AA7" w:rsidRDefault="00F74397" w:rsidP="00F74397">
      <w:pPr>
        <w:rPr>
          <w:rFonts w:ascii="Arial" w:hAnsi="Arial"/>
          <w:sz w:val="20"/>
          <w:szCs w:val="20"/>
          <w:lang w:val="en-GB"/>
        </w:rPr>
      </w:pPr>
      <w:r w:rsidRPr="00AB6AA7">
        <w:rPr>
          <w:rFonts w:ascii="Arial" w:hAnsi="Arial"/>
          <w:sz w:val="20"/>
          <w:szCs w:val="20"/>
          <w:lang w:val="en-GB"/>
        </w:rPr>
        <w:t>On Octobe</w:t>
      </w:r>
      <w:r w:rsidR="00254E74">
        <w:rPr>
          <w:rFonts w:ascii="Arial" w:hAnsi="Arial"/>
          <w:sz w:val="20"/>
          <w:szCs w:val="20"/>
          <w:lang w:val="en-GB"/>
        </w:rPr>
        <w:t>r</w:t>
      </w:r>
      <w:r w:rsidRPr="00AB6AA7">
        <w:rPr>
          <w:rFonts w:ascii="Arial" w:hAnsi="Arial"/>
          <w:sz w:val="20"/>
          <w:szCs w:val="20"/>
          <w:lang w:val="en-GB"/>
        </w:rPr>
        <w:t xml:space="preserve"> 18, 2016, MiningWatch Canada filed a private prosecution against the B.C. government and the Mount Polley Mining Corporation for violations of the federal Fisheries Act in connection with </w:t>
      </w:r>
      <w:r w:rsidR="00B41DF9" w:rsidRPr="00AB6AA7">
        <w:rPr>
          <w:rFonts w:ascii="Arial" w:hAnsi="Arial"/>
          <w:iCs/>
          <w:sz w:val="20"/>
          <w:szCs w:val="20"/>
          <w:lang w:val="en-GB"/>
        </w:rPr>
        <w:t>the 2014 tailings pond disaster—</w:t>
      </w:r>
      <w:r w:rsidR="00B41DF9" w:rsidRPr="00AB6AA7">
        <w:rPr>
          <w:rFonts w:ascii="Arial" w:hAnsi="Arial"/>
          <w:sz w:val="20"/>
          <w:szCs w:val="20"/>
          <w:lang w:val="en-GB"/>
        </w:rPr>
        <w:t xml:space="preserve">the </w:t>
      </w:r>
      <w:r w:rsidRPr="00AB6AA7">
        <w:rPr>
          <w:rFonts w:ascii="Arial" w:hAnsi="Arial"/>
          <w:sz w:val="20"/>
          <w:szCs w:val="20"/>
          <w:lang w:val="en-GB"/>
        </w:rPr>
        <w:t xml:space="preserve">largest mine waste disaster in Canadian history. </w:t>
      </w:r>
    </w:p>
    <w:p w14:paraId="1EF4157B" w14:textId="77777777" w:rsidR="00F74397" w:rsidRPr="00AB6AA7" w:rsidRDefault="00F74397" w:rsidP="00F74397">
      <w:pPr>
        <w:rPr>
          <w:rFonts w:ascii="Arial" w:hAnsi="Arial"/>
          <w:sz w:val="20"/>
          <w:szCs w:val="20"/>
          <w:lang w:val="en-GB"/>
        </w:rPr>
      </w:pPr>
    </w:p>
    <w:p w14:paraId="14E8C290" w14:textId="77777777" w:rsidR="00B41DF9" w:rsidRPr="00AB6AA7" w:rsidRDefault="00B41DF9" w:rsidP="00F74397">
      <w:pPr>
        <w:rPr>
          <w:rFonts w:ascii="Arial" w:hAnsi="Arial"/>
          <w:sz w:val="20"/>
          <w:szCs w:val="20"/>
          <w:lang w:val="en-GB"/>
        </w:rPr>
      </w:pPr>
      <w:r w:rsidRPr="00AB6AA7">
        <w:rPr>
          <w:rFonts w:ascii="Arial" w:hAnsi="Arial"/>
          <w:sz w:val="20"/>
          <w:szCs w:val="20"/>
          <w:lang w:val="en-GB"/>
        </w:rPr>
        <w:t xml:space="preserve">MiningWatch </w:t>
      </w:r>
      <w:r w:rsidR="00F74397" w:rsidRPr="00AB6AA7">
        <w:rPr>
          <w:rFonts w:ascii="Arial" w:hAnsi="Arial"/>
          <w:sz w:val="20"/>
          <w:szCs w:val="20"/>
          <w:lang w:val="en-GB"/>
        </w:rPr>
        <w:t>claims that the massive 2014 spill was caused by the negligence of both the Province of B.C. and the Mount Polley Mining Corporation (MPMC), owned by Imperial Metals. As such, MPMC and the Province of B.C. are being charged for violating sections 35</w:t>
      </w:r>
      <w:r w:rsidRPr="00AB6AA7">
        <w:rPr>
          <w:rFonts w:ascii="Arial" w:hAnsi="Arial"/>
          <w:sz w:val="20"/>
          <w:szCs w:val="20"/>
          <w:lang w:val="en-GB"/>
        </w:rPr>
        <w:t>(1) and 36(3) the Fisheries Act, which prohibit ‘serious harm to fish’ and the deposit of ‘deleterious substances’ into fi</w:t>
      </w:r>
      <w:r w:rsidR="00AF1E77" w:rsidRPr="00AB6AA7">
        <w:rPr>
          <w:rFonts w:ascii="Arial" w:hAnsi="Arial"/>
          <w:sz w:val="20"/>
          <w:szCs w:val="20"/>
          <w:lang w:val="en-GB"/>
        </w:rPr>
        <w:t>sh-bearing waters that sustain</w:t>
      </w:r>
      <w:r w:rsidRPr="00AB6AA7">
        <w:rPr>
          <w:rFonts w:ascii="Arial" w:hAnsi="Arial"/>
          <w:sz w:val="20"/>
          <w:szCs w:val="20"/>
          <w:lang w:val="en-GB"/>
        </w:rPr>
        <w:t xml:space="preserve"> commercial, recreational or aboriginal fisheries.</w:t>
      </w:r>
    </w:p>
    <w:p w14:paraId="407CCE9A" w14:textId="77777777" w:rsidR="009437D1" w:rsidRPr="00AB6AA7" w:rsidRDefault="009437D1" w:rsidP="009437D1">
      <w:pPr>
        <w:rPr>
          <w:rFonts w:ascii="Arial" w:hAnsi="Arial"/>
          <w:sz w:val="20"/>
          <w:szCs w:val="20"/>
          <w:lang w:val="en-GB"/>
        </w:rPr>
      </w:pPr>
    </w:p>
    <w:p w14:paraId="0F0EBDF1" w14:textId="77777777" w:rsidR="009437D1" w:rsidRPr="00AB6AA7" w:rsidRDefault="009437D1" w:rsidP="009437D1">
      <w:pPr>
        <w:rPr>
          <w:rFonts w:ascii="Arial" w:hAnsi="Arial"/>
          <w:sz w:val="20"/>
          <w:szCs w:val="20"/>
          <w:lang w:val="en-GB"/>
        </w:rPr>
      </w:pPr>
      <w:r w:rsidRPr="00AB6AA7">
        <w:rPr>
          <w:rFonts w:ascii="Arial" w:hAnsi="Arial"/>
          <w:sz w:val="20"/>
          <w:szCs w:val="20"/>
          <w:lang w:val="en-GB"/>
        </w:rPr>
        <w:t xml:space="preserve">MiningWatch is taking action now because it is concerned that, almost two and a half years after the disaster, and despite clear evidence of impacts on waters, fish, and fish habitat, the Crown has failed to lay charges and enforce the Fisheries Act. It fears this inaction on the part of the Crown sends the wrong signal to the industry across the country and undermines public confidence in the capacity of our regulatory system to work in an effective and speedy manner to protect the environment. </w:t>
      </w:r>
    </w:p>
    <w:p w14:paraId="439991C7" w14:textId="77777777" w:rsidR="009437D1" w:rsidRPr="00AB6AA7" w:rsidRDefault="009437D1" w:rsidP="009437D1">
      <w:pPr>
        <w:rPr>
          <w:rFonts w:ascii="Arial" w:hAnsi="Arial"/>
          <w:sz w:val="20"/>
          <w:szCs w:val="20"/>
          <w:lang w:val="en-GB"/>
        </w:rPr>
      </w:pPr>
    </w:p>
    <w:p w14:paraId="757A6737" w14:textId="77777777" w:rsidR="00B232A2" w:rsidRPr="00AB6AA7" w:rsidRDefault="009437D1" w:rsidP="009437D1">
      <w:pPr>
        <w:rPr>
          <w:rFonts w:ascii="Arial" w:hAnsi="Arial"/>
          <w:sz w:val="20"/>
          <w:szCs w:val="20"/>
          <w:lang w:val="en-GB"/>
        </w:rPr>
      </w:pPr>
      <w:r w:rsidRPr="00AB6AA7">
        <w:rPr>
          <w:rFonts w:ascii="Arial" w:hAnsi="Arial"/>
          <w:sz w:val="20"/>
          <w:szCs w:val="20"/>
          <w:lang w:val="en-GB"/>
        </w:rPr>
        <w:t>Under specific provisions of the Canadian Criminal Code and the Fisheries Act, any citizen can initiate a private prosecution if he or she believes, on reasonable grounds, that a person has committed an indictable offence.</w:t>
      </w:r>
    </w:p>
    <w:p w14:paraId="73D6A6B5" w14:textId="77777777" w:rsidR="00B232A2" w:rsidRPr="00AB6AA7" w:rsidRDefault="00B232A2" w:rsidP="009437D1">
      <w:pPr>
        <w:rPr>
          <w:rFonts w:ascii="Arial" w:hAnsi="Arial"/>
          <w:sz w:val="20"/>
          <w:szCs w:val="20"/>
          <w:lang w:val="en-GB"/>
        </w:rPr>
      </w:pPr>
    </w:p>
    <w:p w14:paraId="0CC6662B" w14:textId="77777777" w:rsidR="009437D1" w:rsidRPr="00AB6AA7" w:rsidRDefault="009437D1" w:rsidP="009437D1">
      <w:pPr>
        <w:rPr>
          <w:rFonts w:ascii="Arial" w:hAnsi="Arial"/>
          <w:sz w:val="20"/>
          <w:szCs w:val="20"/>
          <w:lang w:val="en-GB"/>
        </w:rPr>
      </w:pPr>
      <w:r w:rsidRPr="00AB6AA7">
        <w:rPr>
          <w:rFonts w:ascii="Arial" w:hAnsi="Arial"/>
          <w:sz w:val="20"/>
          <w:szCs w:val="20"/>
          <w:lang w:val="en-GB"/>
        </w:rPr>
        <w:t xml:space="preserve">In order words, the legislation specifically provides an incentive for private persons to enforce federal laws like the Fisheries Act in order to ensure the protection of public resources, such fish and fish habitat, even if against the Federal or Provincial Crown. As stated in the </w:t>
      </w:r>
      <w:r w:rsidRPr="00AB6AA7">
        <w:rPr>
          <w:rFonts w:ascii="Arial" w:hAnsi="Arial"/>
          <w:i/>
          <w:sz w:val="20"/>
          <w:szCs w:val="20"/>
          <w:lang w:val="en-GB"/>
        </w:rPr>
        <w:t>Public Prosecution Service of Canada Deskbook</w:t>
      </w:r>
      <w:r w:rsidRPr="00AB6AA7">
        <w:rPr>
          <w:rFonts w:ascii="Arial" w:hAnsi="Arial"/>
          <w:sz w:val="20"/>
          <w:szCs w:val="20"/>
          <w:lang w:val="en-GB"/>
        </w:rPr>
        <w:t>, private prosecutions are “a valuable constitutional safeguard against inertia or partiality on the part of authorities.”</w:t>
      </w:r>
    </w:p>
    <w:p w14:paraId="324A2F34" w14:textId="77777777" w:rsidR="00E81B25" w:rsidRPr="00AB6AA7" w:rsidRDefault="00E81B25" w:rsidP="00B41DF9">
      <w:pPr>
        <w:rPr>
          <w:rFonts w:ascii="Arial" w:hAnsi="Arial"/>
          <w:sz w:val="20"/>
          <w:szCs w:val="20"/>
          <w:lang w:val="en-GB"/>
        </w:rPr>
      </w:pPr>
    </w:p>
    <w:p w14:paraId="63019E7A" w14:textId="77777777" w:rsidR="002044EA" w:rsidRPr="00AB6AA7" w:rsidRDefault="00EC692D" w:rsidP="00B41DF9">
      <w:pPr>
        <w:rPr>
          <w:rFonts w:ascii="Arial" w:hAnsi="Arial"/>
          <w:sz w:val="20"/>
          <w:szCs w:val="20"/>
          <w:lang w:val="en-GB"/>
        </w:rPr>
      </w:pPr>
      <w:r w:rsidRPr="00AB6AA7">
        <w:rPr>
          <w:rFonts w:ascii="Arial" w:hAnsi="Arial"/>
          <w:sz w:val="20"/>
          <w:szCs w:val="20"/>
          <w:lang w:val="en-GB"/>
        </w:rPr>
        <w:t xml:space="preserve">On August 4 2014, </w:t>
      </w:r>
      <w:r w:rsidR="002044EA" w:rsidRPr="00AB6AA7">
        <w:rPr>
          <w:rFonts w:ascii="Arial" w:hAnsi="Arial"/>
          <w:sz w:val="20"/>
          <w:szCs w:val="20"/>
          <w:lang w:val="en-GB"/>
        </w:rPr>
        <w:t xml:space="preserve">Mount Polley Mine’s tailings dam collapsed and sent </w:t>
      </w:r>
      <w:r w:rsidR="00B41DF9" w:rsidRPr="00AB6AA7">
        <w:rPr>
          <w:rFonts w:ascii="Arial" w:hAnsi="Arial"/>
          <w:sz w:val="20"/>
          <w:szCs w:val="20"/>
          <w:lang w:val="en-GB"/>
        </w:rPr>
        <w:t xml:space="preserve">25 million cubic metres (10 000 Olympic-size pools) </w:t>
      </w:r>
      <w:r w:rsidRPr="00AB6AA7">
        <w:rPr>
          <w:rFonts w:ascii="Arial" w:hAnsi="Arial"/>
          <w:sz w:val="20"/>
          <w:szCs w:val="20"/>
          <w:lang w:val="en-GB"/>
        </w:rPr>
        <w:t>of wastewater and mine waste solids into</w:t>
      </w:r>
      <w:r w:rsidR="002044EA" w:rsidRPr="00AB6AA7">
        <w:rPr>
          <w:rFonts w:ascii="Arial" w:hAnsi="Arial"/>
          <w:sz w:val="20"/>
          <w:szCs w:val="20"/>
          <w:lang w:val="en-GB"/>
        </w:rPr>
        <w:t xml:space="preserve"> downstream waters, destroying or permanently affecting over </w:t>
      </w:r>
      <w:r w:rsidR="002044EA" w:rsidRPr="00AB6AA7">
        <w:rPr>
          <w:rFonts w:ascii="Arial" w:hAnsi="Arial"/>
          <w:b/>
          <w:sz w:val="20"/>
          <w:szCs w:val="20"/>
          <w:lang w:val="en-GB"/>
        </w:rPr>
        <w:t>2 612 470 m</w:t>
      </w:r>
      <w:r w:rsidR="002044EA" w:rsidRPr="00AB6AA7">
        <w:rPr>
          <w:rFonts w:ascii="Arial" w:hAnsi="Arial"/>
          <w:b/>
          <w:sz w:val="20"/>
          <w:szCs w:val="20"/>
          <w:vertAlign w:val="superscript"/>
          <w:lang w:val="en-GB"/>
        </w:rPr>
        <w:t>2</w:t>
      </w:r>
      <w:r w:rsidR="002044EA" w:rsidRPr="00AB6AA7">
        <w:rPr>
          <w:rFonts w:ascii="Arial" w:hAnsi="Arial"/>
          <w:sz w:val="20"/>
          <w:szCs w:val="20"/>
          <w:lang w:val="en-GB"/>
        </w:rPr>
        <w:t xml:space="preserve"> of aquatic and riparian habitats—equivalent to </w:t>
      </w:r>
      <w:r w:rsidR="00F63841" w:rsidRPr="00AB6AA7">
        <w:rPr>
          <w:rFonts w:ascii="Arial" w:hAnsi="Arial"/>
          <w:sz w:val="20"/>
          <w:szCs w:val="20"/>
          <w:lang w:val="en-GB"/>
        </w:rPr>
        <w:t xml:space="preserve">washing away </w:t>
      </w:r>
      <w:r w:rsidR="002044EA" w:rsidRPr="00AB6AA7">
        <w:rPr>
          <w:rFonts w:ascii="Arial" w:hAnsi="Arial"/>
          <w:sz w:val="20"/>
          <w:szCs w:val="20"/>
          <w:lang w:val="en-GB"/>
        </w:rPr>
        <w:t>close to</w:t>
      </w:r>
      <w:r w:rsidR="00AF1E77" w:rsidRPr="00AB6AA7">
        <w:rPr>
          <w:rFonts w:ascii="Arial" w:hAnsi="Arial"/>
          <w:sz w:val="20"/>
          <w:szCs w:val="20"/>
          <w:lang w:val="en-GB"/>
        </w:rPr>
        <w:t xml:space="preserve"> </w:t>
      </w:r>
      <w:r w:rsidR="00AF1E77" w:rsidRPr="00AB6AA7">
        <w:rPr>
          <w:rFonts w:ascii="Arial" w:hAnsi="Arial"/>
          <w:b/>
          <w:sz w:val="20"/>
          <w:szCs w:val="20"/>
          <w:lang w:val="en-GB"/>
        </w:rPr>
        <w:t>2/3</w:t>
      </w:r>
      <w:r w:rsidR="00AF1E77" w:rsidRPr="00AB6AA7">
        <w:rPr>
          <w:rFonts w:ascii="Arial" w:hAnsi="Arial"/>
          <w:sz w:val="20"/>
          <w:szCs w:val="20"/>
          <w:lang w:val="en-GB"/>
        </w:rPr>
        <w:t xml:space="preserve"> of Stanley Park or</w:t>
      </w:r>
      <w:r w:rsidR="002044EA" w:rsidRPr="00AB6AA7">
        <w:rPr>
          <w:rFonts w:ascii="Arial" w:hAnsi="Arial"/>
          <w:sz w:val="20"/>
          <w:szCs w:val="20"/>
          <w:lang w:val="en-GB"/>
        </w:rPr>
        <w:t xml:space="preserve"> </w:t>
      </w:r>
      <w:r w:rsidR="002044EA" w:rsidRPr="00AB6AA7">
        <w:rPr>
          <w:rFonts w:ascii="Arial" w:hAnsi="Arial"/>
          <w:b/>
          <w:sz w:val="20"/>
          <w:szCs w:val="20"/>
          <w:lang w:val="en-GB"/>
        </w:rPr>
        <w:t>12 times</w:t>
      </w:r>
      <w:r w:rsidR="002044EA" w:rsidRPr="00AB6AA7">
        <w:rPr>
          <w:rFonts w:ascii="Arial" w:hAnsi="Arial"/>
          <w:sz w:val="20"/>
          <w:szCs w:val="20"/>
          <w:lang w:val="en-GB"/>
        </w:rPr>
        <w:t xml:space="preserve"> the size of VanDusen Botanical Garden in Vancouver.</w:t>
      </w:r>
    </w:p>
    <w:p w14:paraId="50299E30" w14:textId="77777777" w:rsidR="00AF1E77" w:rsidRPr="00AB6AA7" w:rsidRDefault="00AF1E77" w:rsidP="00AF1E77">
      <w:pPr>
        <w:rPr>
          <w:rFonts w:ascii="Arial" w:hAnsi="Arial"/>
          <w:sz w:val="20"/>
          <w:szCs w:val="20"/>
          <w:lang w:val="en-GB"/>
        </w:rPr>
      </w:pPr>
    </w:p>
    <w:p w14:paraId="67A6788B" w14:textId="77777777" w:rsidR="002C7C87" w:rsidRPr="00AB6AA7" w:rsidRDefault="00D02919" w:rsidP="00B232A2">
      <w:pPr>
        <w:rPr>
          <w:rFonts w:ascii="Arial" w:hAnsi="Arial"/>
          <w:sz w:val="20"/>
          <w:szCs w:val="20"/>
          <w:lang w:val="en-GB" w:eastAsia="en-CA"/>
        </w:rPr>
      </w:pPr>
      <w:r w:rsidRPr="00AB6AA7">
        <w:rPr>
          <w:rFonts w:ascii="Arial" w:hAnsi="Arial"/>
          <w:sz w:val="20"/>
          <w:szCs w:val="20"/>
          <w:lang w:val="en-GB"/>
        </w:rPr>
        <w:t>I</w:t>
      </w:r>
      <w:r w:rsidR="00AF1E77" w:rsidRPr="00AB6AA7">
        <w:rPr>
          <w:rFonts w:ascii="Arial" w:hAnsi="Arial"/>
          <w:sz w:val="20"/>
          <w:szCs w:val="20"/>
          <w:lang w:val="en-GB"/>
        </w:rPr>
        <w:t xml:space="preserve">mpact </w:t>
      </w:r>
      <w:r w:rsidR="002C7C87" w:rsidRPr="00AB6AA7">
        <w:rPr>
          <w:rFonts w:ascii="Arial" w:hAnsi="Arial"/>
          <w:sz w:val="20"/>
          <w:szCs w:val="20"/>
          <w:lang w:val="en-GB"/>
        </w:rPr>
        <w:t>assessment reports</w:t>
      </w:r>
      <w:r w:rsidR="00AF1E77" w:rsidRPr="00AB6AA7">
        <w:rPr>
          <w:rFonts w:ascii="Arial" w:hAnsi="Arial"/>
          <w:sz w:val="20"/>
          <w:szCs w:val="20"/>
          <w:lang w:val="en-GB"/>
        </w:rPr>
        <w:t xml:space="preserve"> </w:t>
      </w:r>
      <w:r w:rsidRPr="00AB6AA7">
        <w:rPr>
          <w:rFonts w:ascii="Arial" w:hAnsi="Arial"/>
          <w:sz w:val="20"/>
          <w:szCs w:val="20"/>
          <w:lang w:val="en-GB"/>
        </w:rPr>
        <w:t xml:space="preserve">of the spill </w:t>
      </w:r>
      <w:r w:rsidR="00AF1E77" w:rsidRPr="00AB6AA7">
        <w:rPr>
          <w:rFonts w:ascii="Arial" w:hAnsi="Arial"/>
          <w:sz w:val="20"/>
          <w:szCs w:val="20"/>
          <w:lang w:val="en-GB"/>
        </w:rPr>
        <w:t xml:space="preserve">commissioned by BC’s Ministry of Environmental and MPMC itself </w:t>
      </w:r>
      <w:r w:rsidRPr="00AB6AA7">
        <w:rPr>
          <w:rFonts w:ascii="Arial" w:hAnsi="Arial"/>
          <w:sz w:val="20"/>
          <w:szCs w:val="20"/>
          <w:lang w:val="en-GB"/>
        </w:rPr>
        <w:t xml:space="preserve">indicate </w:t>
      </w:r>
      <w:r w:rsidRPr="00AB6AA7">
        <w:rPr>
          <w:rFonts w:ascii="Arial" w:hAnsi="Arial"/>
          <w:bCs/>
          <w:sz w:val="20"/>
          <w:szCs w:val="20"/>
          <w:lang w:val="en-GB" w:eastAsia="en-CA"/>
        </w:rPr>
        <w:t xml:space="preserve">strong evidence of an impact to sediments, both physically and chemically, </w:t>
      </w:r>
      <w:r w:rsidRPr="00AB6AA7">
        <w:rPr>
          <w:rFonts w:ascii="Arial" w:hAnsi="Arial"/>
          <w:sz w:val="20"/>
          <w:szCs w:val="20"/>
          <w:lang w:val="en-GB" w:eastAsia="en-CA"/>
        </w:rPr>
        <w:t xml:space="preserve">within Hazeltine Creek, Polley Lake and Quesnel Lake. Chemical impacts are most evident in elevated </w:t>
      </w:r>
      <w:r w:rsidRPr="00AB6AA7">
        <w:rPr>
          <w:rFonts w:ascii="Arial" w:hAnsi="Arial"/>
          <w:b/>
          <w:sz w:val="20"/>
          <w:szCs w:val="20"/>
          <w:lang w:val="en-GB" w:eastAsia="en-CA"/>
        </w:rPr>
        <w:t>copper</w:t>
      </w:r>
      <w:r w:rsidRPr="00AB6AA7">
        <w:rPr>
          <w:rFonts w:ascii="Arial" w:hAnsi="Arial"/>
          <w:sz w:val="20"/>
          <w:szCs w:val="20"/>
          <w:lang w:val="en-GB" w:eastAsia="en-CA"/>
        </w:rPr>
        <w:t xml:space="preserve"> and </w:t>
      </w:r>
      <w:r w:rsidRPr="00AB6AA7">
        <w:rPr>
          <w:rFonts w:ascii="Arial" w:hAnsi="Arial"/>
          <w:b/>
          <w:sz w:val="20"/>
          <w:szCs w:val="20"/>
          <w:lang w:val="en-GB" w:eastAsia="en-CA"/>
        </w:rPr>
        <w:t>iron</w:t>
      </w:r>
      <w:r w:rsidRPr="00AB6AA7">
        <w:rPr>
          <w:rFonts w:ascii="Arial" w:hAnsi="Arial"/>
          <w:sz w:val="20"/>
          <w:szCs w:val="20"/>
          <w:lang w:val="en-GB" w:eastAsia="en-CA"/>
        </w:rPr>
        <w:t xml:space="preserve"> (up to </w:t>
      </w:r>
      <w:r w:rsidRPr="00AB6AA7">
        <w:rPr>
          <w:rFonts w:ascii="Arial" w:hAnsi="Arial"/>
          <w:b/>
          <w:sz w:val="20"/>
          <w:szCs w:val="20"/>
          <w:lang w:val="en-GB" w:eastAsia="en-CA"/>
        </w:rPr>
        <w:t>24</w:t>
      </w:r>
      <w:r w:rsidRPr="00AB6AA7">
        <w:rPr>
          <w:rFonts w:ascii="Arial" w:hAnsi="Arial"/>
          <w:sz w:val="20"/>
          <w:szCs w:val="20"/>
          <w:lang w:val="en-GB" w:eastAsia="en-CA"/>
        </w:rPr>
        <w:t xml:space="preserve"> times higher the pre-event concentrations), but also in concentrations of </w:t>
      </w:r>
      <w:r w:rsidRPr="00AB6AA7">
        <w:rPr>
          <w:rFonts w:ascii="Arial" w:hAnsi="Arial"/>
          <w:b/>
          <w:sz w:val="20"/>
          <w:szCs w:val="20"/>
          <w:lang w:val="en-GB" w:eastAsia="en-CA"/>
        </w:rPr>
        <w:t>arsenic</w:t>
      </w:r>
      <w:r w:rsidRPr="00AB6AA7">
        <w:rPr>
          <w:rFonts w:ascii="Arial" w:hAnsi="Arial"/>
          <w:sz w:val="20"/>
          <w:szCs w:val="20"/>
          <w:lang w:val="en-GB" w:eastAsia="en-CA"/>
        </w:rPr>
        <w:t xml:space="preserve">, </w:t>
      </w:r>
      <w:r w:rsidRPr="00AB6AA7">
        <w:rPr>
          <w:rFonts w:ascii="Arial" w:hAnsi="Arial"/>
          <w:b/>
          <w:sz w:val="20"/>
          <w:szCs w:val="20"/>
          <w:lang w:val="en-GB" w:eastAsia="en-CA"/>
        </w:rPr>
        <w:t>manganese</w:t>
      </w:r>
      <w:r w:rsidRPr="00AB6AA7">
        <w:rPr>
          <w:rFonts w:ascii="Arial" w:hAnsi="Arial"/>
          <w:sz w:val="20"/>
          <w:szCs w:val="20"/>
          <w:lang w:val="en-GB" w:eastAsia="en-CA"/>
        </w:rPr>
        <w:t xml:space="preserve">, </w:t>
      </w:r>
      <w:r w:rsidRPr="00AB6AA7">
        <w:rPr>
          <w:rFonts w:ascii="Arial" w:hAnsi="Arial"/>
          <w:b/>
          <w:sz w:val="20"/>
          <w:szCs w:val="20"/>
          <w:lang w:val="en-GB" w:eastAsia="en-CA"/>
        </w:rPr>
        <w:t>nickel</w:t>
      </w:r>
      <w:r w:rsidRPr="00AB6AA7">
        <w:rPr>
          <w:rFonts w:ascii="Arial" w:hAnsi="Arial"/>
          <w:sz w:val="20"/>
          <w:szCs w:val="20"/>
          <w:lang w:val="en-GB" w:eastAsia="en-CA"/>
        </w:rPr>
        <w:t xml:space="preserve"> and </w:t>
      </w:r>
      <w:r w:rsidRPr="00AB6AA7">
        <w:rPr>
          <w:rFonts w:ascii="Arial" w:hAnsi="Arial"/>
          <w:b/>
          <w:sz w:val="20"/>
          <w:szCs w:val="20"/>
          <w:lang w:val="en-GB" w:eastAsia="en-CA"/>
        </w:rPr>
        <w:t>zinc</w:t>
      </w:r>
      <w:r w:rsidRPr="00AB6AA7">
        <w:rPr>
          <w:rFonts w:ascii="Arial" w:hAnsi="Arial"/>
          <w:sz w:val="20"/>
          <w:szCs w:val="20"/>
          <w:lang w:val="en-GB" w:eastAsia="en-CA"/>
        </w:rPr>
        <w:t xml:space="preserve">. </w:t>
      </w:r>
      <w:r w:rsidR="002C7C87" w:rsidRPr="00AB6AA7">
        <w:rPr>
          <w:rFonts w:ascii="Arial" w:hAnsi="Arial"/>
          <w:sz w:val="20"/>
          <w:szCs w:val="20"/>
          <w:lang w:val="en-GB" w:eastAsia="en-CA"/>
        </w:rPr>
        <w:t>In some instances</w:t>
      </w:r>
      <w:r w:rsidRPr="00AB6AA7">
        <w:rPr>
          <w:rFonts w:ascii="Arial" w:hAnsi="Arial"/>
          <w:sz w:val="20"/>
          <w:szCs w:val="20"/>
          <w:lang w:val="en-GB" w:eastAsia="en-CA"/>
        </w:rPr>
        <w:t>, concentrations consistently exceeded provincial Sediment Quality Guidelines</w:t>
      </w:r>
      <w:r w:rsidR="002C7C87" w:rsidRPr="00AB6AA7">
        <w:rPr>
          <w:rFonts w:ascii="Arial" w:hAnsi="Arial"/>
          <w:sz w:val="20"/>
          <w:szCs w:val="20"/>
          <w:lang w:val="en-GB" w:eastAsia="en-CA"/>
        </w:rPr>
        <w:t xml:space="preserve"> (and above background levels)</w:t>
      </w:r>
      <w:r w:rsidRPr="00AB6AA7">
        <w:rPr>
          <w:rFonts w:ascii="Arial" w:hAnsi="Arial"/>
          <w:sz w:val="20"/>
          <w:szCs w:val="20"/>
          <w:lang w:val="en-GB" w:eastAsia="en-CA"/>
        </w:rPr>
        <w:t xml:space="preserve">. </w:t>
      </w:r>
      <w:r w:rsidR="002C7C87" w:rsidRPr="00AB6AA7">
        <w:rPr>
          <w:rFonts w:ascii="Arial" w:hAnsi="Arial"/>
          <w:sz w:val="20"/>
          <w:szCs w:val="20"/>
          <w:lang w:val="en-GB" w:eastAsia="en-CA"/>
        </w:rPr>
        <w:t>For the year 2014, the</w:t>
      </w:r>
      <w:r w:rsidR="002C7C87" w:rsidRPr="00AB6AA7">
        <w:rPr>
          <w:rFonts w:ascii="Arial" w:hAnsi="Arial"/>
          <w:b/>
          <w:sz w:val="20"/>
          <w:szCs w:val="20"/>
          <w:lang w:val="en-GB" w:eastAsia="en-CA"/>
        </w:rPr>
        <w:t xml:space="preserve"> National Pollutant Release Inventory (NPRI)</w:t>
      </w:r>
      <w:r w:rsidR="002C7C87" w:rsidRPr="00AB6AA7">
        <w:rPr>
          <w:rFonts w:ascii="Arial" w:hAnsi="Arial"/>
          <w:sz w:val="20"/>
          <w:szCs w:val="20"/>
          <w:lang w:val="en-GB" w:eastAsia="en-CA"/>
        </w:rPr>
        <w:t xml:space="preserve"> reports that the </w:t>
      </w:r>
      <w:r w:rsidR="002C7C87" w:rsidRPr="00AB6AA7">
        <w:rPr>
          <w:rFonts w:ascii="Arial" w:hAnsi="Arial"/>
          <w:bCs/>
          <w:sz w:val="20"/>
          <w:szCs w:val="20"/>
          <w:lang w:val="en-GB" w:eastAsia="en-CA"/>
        </w:rPr>
        <w:t xml:space="preserve">Mount Polley Mine represented the largest emitter of </w:t>
      </w:r>
      <w:r w:rsidR="009437D1" w:rsidRPr="00AB6AA7">
        <w:rPr>
          <w:rFonts w:ascii="Arial" w:hAnsi="Arial"/>
          <w:bCs/>
          <w:sz w:val="20"/>
          <w:szCs w:val="20"/>
          <w:lang w:val="en-GB" w:eastAsia="en-CA"/>
        </w:rPr>
        <w:t xml:space="preserve">certain </w:t>
      </w:r>
      <w:r w:rsidR="002C7C87" w:rsidRPr="00AB6AA7">
        <w:rPr>
          <w:rFonts w:ascii="Arial" w:hAnsi="Arial"/>
          <w:bCs/>
          <w:sz w:val="20"/>
          <w:szCs w:val="20"/>
          <w:lang w:val="en-GB" w:eastAsia="en-CA"/>
        </w:rPr>
        <w:t>pollutants in Canadian waters</w:t>
      </w:r>
      <w:r w:rsidR="002C7C87" w:rsidRPr="00AB6AA7">
        <w:rPr>
          <w:rFonts w:ascii="Arial" w:hAnsi="Arial"/>
          <w:sz w:val="20"/>
          <w:szCs w:val="20"/>
          <w:lang w:val="en-GB" w:eastAsia="en-CA"/>
        </w:rPr>
        <w:t xml:space="preserve"> due to the tailings spill, including</w:t>
      </w:r>
      <w:r w:rsidR="009437D1" w:rsidRPr="00AB6AA7">
        <w:rPr>
          <w:rFonts w:ascii="Arial" w:hAnsi="Arial"/>
          <w:sz w:val="20"/>
          <w:szCs w:val="20"/>
          <w:lang w:val="en-GB" w:eastAsia="en-CA"/>
        </w:rPr>
        <w:t xml:space="preserve"> for copper, arsenic and manganese</w:t>
      </w:r>
      <w:r w:rsidR="00B232A2" w:rsidRPr="00AB6AA7">
        <w:rPr>
          <w:rFonts w:ascii="Arial" w:hAnsi="Arial"/>
          <w:sz w:val="20"/>
          <w:szCs w:val="20"/>
          <w:lang w:val="en-GB" w:eastAsia="en-CA"/>
        </w:rPr>
        <w:t>.</w:t>
      </w:r>
    </w:p>
    <w:p w14:paraId="786B55EB" w14:textId="77777777" w:rsidR="009437D1" w:rsidRPr="00AB6AA7" w:rsidRDefault="009437D1" w:rsidP="002C7C87">
      <w:pPr>
        <w:widowControl/>
        <w:suppressAutoHyphens w:val="0"/>
        <w:rPr>
          <w:rFonts w:ascii="Arial" w:hAnsi="Arial"/>
          <w:sz w:val="20"/>
          <w:szCs w:val="20"/>
          <w:lang w:val="en-GB" w:eastAsia="en-CA"/>
        </w:rPr>
      </w:pPr>
    </w:p>
    <w:p w14:paraId="48CC0804" w14:textId="77777777" w:rsidR="00D02919" w:rsidRPr="00AB6AA7" w:rsidRDefault="002C7C87" w:rsidP="002C7C87">
      <w:pPr>
        <w:widowControl/>
        <w:suppressAutoHyphens w:val="0"/>
        <w:rPr>
          <w:rFonts w:ascii="Arial" w:hAnsi="Arial"/>
          <w:sz w:val="20"/>
          <w:szCs w:val="20"/>
          <w:lang w:val="en-GB" w:eastAsia="en-CA"/>
        </w:rPr>
      </w:pPr>
      <w:r w:rsidRPr="00AB6AA7">
        <w:rPr>
          <w:rFonts w:ascii="Arial" w:hAnsi="Arial"/>
          <w:sz w:val="20"/>
          <w:szCs w:val="20"/>
          <w:lang w:val="en-GB" w:eastAsia="en-CA"/>
        </w:rPr>
        <w:t xml:space="preserve">Studies </w:t>
      </w:r>
      <w:r w:rsidR="00D02919" w:rsidRPr="00AB6AA7">
        <w:rPr>
          <w:rFonts w:ascii="Arial" w:hAnsi="Arial"/>
          <w:sz w:val="20"/>
          <w:szCs w:val="20"/>
          <w:lang w:val="en-GB" w:eastAsia="en-CA"/>
        </w:rPr>
        <w:t xml:space="preserve">also indicated </w:t>
      </w:r>
      <w:r w:rsidR="00D02919" w:rsidRPr="00AB6AA7">
        <w:rPr>
          <w:rFonts w:ascii="Arial" w:hAnsi="Arial"/>
          <w:b/>
          <w:bCs/>
          <w:sz w:val="20"/>
          <w:szCs w:val="20"/>
          <w:lang w:val="en-GB" w:eastAsia="en-CA"/>
        </w:rPr>
        <w:t>effects to benthic invertebrates</w:t>
      </w:r>
      <w:r w:rsidRPr="00AB6AA7">
        <w:rPr>
          <w:rFonts w:ascii="Arial" w:hAnsi="Arial"/>
          <w:sz w:val="20"/>
          <w:szCs w:val="20"/>
          <w:lang w:val="en-GB" w:eastAsia="en-CA"/>
        </w:rPr>
        <w:t xml:space="preserve">, which are also protected under the Fisheries Act. Effects are </w:t>
      </w:r>
      <w:r w:rsidR="00D02919" w:rsidRPr="00AB6AA7">
        <w:rPr>
          <w:rFonts w:ascii="Arial" w:hAnsi="Arial"/>
          <w:sz w:val="20"/>
          <w:szCs w:val="20"/>
          <w:lang w:val="en-GB" w:eastAsia="en-CA"/>
        </w:rPr>
        <w:t>ranging from: 1) an absence of organisms, 2) lower density and taxon richness, and 3) limited differences in community composition.</w:t>
      </w:r>
    </w:p>
    <w:p w14:paraId="565C4DCE" w14:textId="77777777" w:rsidR="00F74397" w:rsidRPr="00AB6AA7" w:rsidRDefault="00F74397" w:rsidP="00F74397">
      <w:pPr>
        <w:rPr>
          <w:rFonts w:ascii="Arial" w:hAnsi="Arial"/>
          <w:sz w:val="20"/>
          <w:szCs w:val="20"/>
          <w:lang w:val="en-GB"/>
        </w:rPr>
      </w:pPr>
    </w:p>
    <w:p w14:paraId="2E21B533" w14:textId="77777777" w:rsidR="00B232A2" w:rsidRPr="00AB6AA7" w:rsidRDefault="009437D1" w:rsidP="00F74397">
      <w:pPr>
        <w:rPr>
          <w:rFonts w:ascii="Arial" w:hAnsi="Arial"/>
          <w:sz w:val="20"/>
          <w:szCs w:val="20"/>
          <w:lang w:val="en-GB"/>
        </w:rPr>
      </w:pPr>
      <w:r w:rsidRPr="00AB6AA7">
        <w:rPr>
          <w:rFonts w:ascii="Arial" w:hAnsi="Arial"/>
          <w:sz w:val="20"/>
          <w:szCs w:val="20"/>
          <w:lang w:val="en-GB"/>
        </w:rPr>
        <w:t>MiningWatch has a</w:t>
      </w:r>
      <w:r w:rsidR="00F74397" w:rsidRPr="00AB6AA7">
        <w:rPr>
          <w:rFonts w:ascii="Arial" w:hAnsi="Arial"/>
          <w:sz w:val="20"/>
          <w:szCs w:val="20"/>
          <w:lang w:val="en-GB"/>
        </w:rPr>
        <w:t xml:space="preserve"> legal team </w:t>
      </w:r>
      <w:r w:rsidRPr="00AB6AA7">
        <w:rPr>
          <w:rFonts w:ascii="Arial" w:hAnsi="Arial"/>
          <w:sz w:val="20"/>
          <w:szCs w:val="20"/>
          <w:lang w:val="en-GB"/>
        </w:rPr>
        <w:t xml:space="preserve">prepared </w:t>
      </w:r>
      <w:r w:rsidR="00F74397" w:rsidRPr="00AB6AA7">
        <w:rPr>
          <w:rFonts w:ascii="Arial" w:hAnsi="Arial"/>
          <w:sz w:val="20"/>
          <w:szCs w:val="20"/>
          <w:lang w:val="en-GB"/>
        </w:rPr>
        <w:t>to carry the case to full trial if necessary, but also recognizes that the cost and expense associated with prosecuting a case against a mining corporation and the Provincial Government can be immense. For this reason, MiningWatch will be asking for the Federal Crown to</w:t>
      </w:r>
      <w:r w:rsidRPr="00AB6AA7">
        <w:rPr>
          <w:rFonts w:ascii="Arial" w:hAnsi="Arial"/>
          <w:sz w:val="20"/>
          <w:szCs w:val="20"/>
          <w:lang w:val="en-GB"/>
        </w:rPr>
        <w:t xml:space="preserve"> carry the prosecution forward—which can decide to take over the case, or not.</w:t>
      </w:r>
      <w:r w:rsidR="00B232A2" w:rsidRPr="00AB6AA7">
        <w:rPr>
          <w:rFonts w:ascii="Arial" w:hAnsi="Arial"/>
          <w:sz w:val="20"/>
          <w:szCs w:val="20"/>
          <w:lang w:val="en-GB"/>
        </w:rPr>
        <w:t xml:space="preserve"> </w:t>
      </w:r>
    </w:p>
    <w:p w14:paraId="2BE4E8DE" w14:textId="77777777" w:rsidR="0077088B" w:rsidRPr="0077088B" w:rsidRDefault="0077088B" w:rsidP="0077088B">
      <w:pPr>
        <w:rPr>
          <w:rFonts w:ascii="Arial" w:hAnsi="Arial"/>
          <w:sz w:val="20"/>
          <w:szCs w:val="20"/>
          <w:lang w:val="en-GB"/>
        </w:rPr>
      </w:pPr>
    </w:p>
    <w:p w14:paraId="1E763792" w14:textId="41645963" w:rsidR="00F74397" w:rsidRPr="00AB6AA7" w:rsidRDefault="0077088B" w:rsidP="0077088B">
      <w:pPr>
        <w:rPr>
          <w:rFonts w:ascii="Arial" w:hAnsi="Arial"/>
          <w:sz w:val="20"/>
          <w:szCs w:val="20"/>
          <w:lang w:val="en-GB"/>
        </w:rPr>
      </w:pPr>
      <w:r w:rsidRPr="0077088B">
        <w:rPr>
          <w:rFonts w:ascii="Arial" w:hAnsi="Arial"/>
          <w:sz w:val="20"/>
          <w:szCs w:val="20"/>
          <w:lang w:val="en-GB"/>
        </w:rPr>
        <w:t xml:space="preserve">This legal action is supported by multiple local, provincial, and national groups, including Westcoast West Coast Environmental Law AssociationCentre-Environmental Dispute Resolution Fund (main funder), Amnesty International Canada, First Nations Women Advocating for Responsible Mining, Concerned Citizens of Quesnel Lake, Quesnel River Watershed Alliance, </w:t>
      </w:r>
      <w:r w:rsidR="00AB6AA7" w:rsidRPr="0077088B">
        <w:rPr>
          <w:rFonts w:ascii="Arial" w:hAnsi="Arial"/>
          <w:sz w:val="20"/>
          <w:szCs w:val="20"/>
          <w:lang w:val="en-GB"/>
        </w:rPr>
        <w:t>Kamloops Physicians for the Environment Society, Kamloops Area Preservatio</w:t>
      </w:r>
      <w:r w:rsidR="00AB6AA7">
        <w:rPr>
          <w:rFonts w:ascii="Arial" w:hAnsi="Arial"/>
          <w:sz w:val="20"/>
          <w:szCs w:val="20"/>
          <w:lang w:val="en-GB"/>
        </w:rPr>
        <w:t xml:space="preserve">n </w:t>
      </w:r>
      <w:r w:rsidR="00AB6AA7" w:rsidRPr="0077088B">
        <w:rPr>
          <w:rFonts w:ascii="Arial" w:hAnsi="Arial"/>
          <w:sz w:val="20"/>
          <w:szCs w:val="20"/>
          <w:lang w:val="en-GB"/>
        </w:rPr>
        <w:t xml:space="preserve">Association, </w:t>
      </w:r>
      <w:r w:rsidRPr="0077088B">
        <w:rPr>
          <w:rFonts w:ascii="Arial" w:hAnsi="Arial"/>
          <w:sz w:val="20"/>
          <w:szCs w:val="20"/>
          <w:lang w:val="en-GB"/>
        </w:rPr>
        <w:t>Wilderness Committee, Sierra Club BC, Fair Mining Collaborative, Rivers Without Borders, British Columbia Environmental Network, Clayoquot Action, Forest Protection Allies, Alaska Clean Water Advocacy</w:t>
      </w:r>
      <w:r w:rsidR="00AB6AA7">
        <w:rPr>
          <w:rFonts w:ascii="Arial" w:hAnsi="Arial"/>
          <w:sz w:val="20"/>
          <w:szCs w:val="20"/>
          <w:lang w:val="en-GB"/>
        </w:rPr>
        <w:t>.</w:t>
      </w:r>
    </w:p>
    <w:p w14:paraId="383E9583" w14:textId="77777777" w:rsidR="004B09BB" w:rsidRPr="00AB6AA7" w:rsidRDefault="004B09BB" w:rsidP="001D6704">
      <w:pPr>
        <w:rPr>
          <w:rFonts w:ascii="Arial" w:hAnsi="Arial"/>
          <w:sz w:val="20"/>
          <w:szCs w:val="20"/>
          <w:lang w:val="en-GB"/>
        </w:rPr>
      </w:pPr>
    </w:p>
    <w:p w14:paraId="53FA8247" w14:textId="77777777" w:rsidR="00E81B25" w:rsidRPr="00AB6AA7" w:rsidRDefault="00E81B25" w:rsidP="00E81B25">
      <w:pPr>
        <w:rPr>
          <w:rFonts w:ascii="Arial" w:hAnsi="Arial"/>
          <w:sz w:val="20"/>
          <w:szCs w:val="20"/>
          <w:lang w:val="en-GB"/>
        </w:rPr>
      </w:pPr>
    </w:p>
    <w:p w14:paraId="4C64C6C4" w14:textId="77777777" w:rsidR="00E81B25" w:rsidRPr="00AB6AA7" w:rsidRDefault="00E81B25" w:rsidP="00E81B25">
      <w:pPr>
        <w:pStyle w:val="Titre2"/>
        <w:rPr>
          <w:lang w:val="en-GB"/>
        </w:rPr>
      </w:pPr>
      <w:bookmarkStart w:id="4" w:name="_Toc464474236"/>
      <w:r w:rsidRPr="00AB6AA7">
        <w:rPr>
          <w:lang w:val="en-GB"/>
        </w:rPr>
        <w:t>The Lawyers</w:t>
      </w:r>
      <w:bookmarkEnd w:id="4"/>
    </w:p>
    <w:p w14:paraId="512A3966" w14:textId="77777777" w:rsidR="00E81B25" w:rsidRPr="00AB6AA7" w:rsidRDefault="00E81B25" w:rsidP="00E81B25">
      <w:pPr>
        <w:rPr>
          <w:rFonts w:ascii="Arial" w:hAnsi="Arial"/>
          <w:sz w:val="20"/>
          <w:szCs w:val="20"/>
          <w:lang w:val="en-GB"/>
        </w:rPr>
      </w:pPr>
    </w:p>
    <w:p w14:paraId="5BE8E2FB" w14:textId="77777777" w:rsidR="00E81B25" w:rsidRPr="00AB6AA7" w:rsidRDefault="00E81B25" w:rsidP="00E81B25">
      <w:pPr>
        <w:rPr>
          <w:rFonts w:ascii="Arial" w:hAnsi="Arial"/>
          <w:sz w:val="20"/>
          <w:szCs w:val="20"/>
          <w:lang w:val="en-GB"/>
        </w:rPr>
      </w:pPr>
      <w:r w:rsidRPr="00AB6AA7">
        <w:rPr>
          <w:rFonts w:ascii="Arial" w:hAnsi="Arial"/>
          <w:b/>
          <w:sz w:val="20"/>
          <w:szCs w:val="20"/>
          <w:lang w:val="en-GB"/>
        </w:rPr>
        <w:t>Lilina Lysenko Barrister &amp; Solicitor</w:t>
      </w:r>
    </w:p>
    <w:p w14:paraId="1058AABA" w14:textId="77777777" w:rsidR="00E81B25" w:rsidRPr="00AB6AA7" w:rsidRDefault="00E81B25" w:rsidP="00E81B25">
      <w:pPr>
        <w:rPr>
          <w:rFonts w:ascii="Arial" w:hAnsi="Arial"/>
          <w:sz w:val="20"/>
          <w:szCs w:val="20"/>
          <w:lang w:val="en-GB"/>
        </w:rPr>
      </w:pPr>
      <w:r w:rsidRPr="00AB6AA7">
        <w:rPr>
          <w:rFonts w:ascii="Arial" w:hAnsi="Arial"/>
          <w:sz w:val="20"/>
          <w:szCs w:val="20"/>
          <w:lang w:val="en-GB"/>
        </w:rPr>
        <w:t>Independent lawyer based out of Trail, BC, with several years of practice, including private prosecutions under the Fisheries Act (e.g. Lemon Creek fuel spill).</w:t>
      </w:r>
    </w:p>
    <w:p w14:paraId="349A587E" w14:textId="77777777" w:rsidR="00E81B25" w:rsidRPr="00AB6AA7" w:rsidRDefault="00E81B25" w:rsidP="00E81B25">
      <w:pPr>
        <w:rPr>
          <w:rFonts w:ascii="Arial" w:hAnsi="Arial"/>
          <w:sz w:val="20"/>
          <w:szCs w:val="20"/>
          <w:lang w:val="en-GB"/>
        </w:rPr>
      </w:pPr>
    </w:p>
    <w:p w14:paraId="2041B916" w14:textId="77777777" w:rsidR="00E81B25" w:rsidRPr="00AB6AA7" w:rsidRDefault="00E81B25" w:rsidP="00E81B25">
      <w:pPr>
        <w:rPr>
          <w:rFonts w:ascii="Arial" w:hAnsi="Arial"/>
          <w:b/>
          <w:sz w:val="20"/>
          <w:szCs w:val="20"/>
          <w:lang w:val="en-GB"/>
        </w:rPr>
      </w:pPr>
      <w:r w:rsidRPr="00AB6AA7">
        <w:rPr>
          <w:rFonts w:ascii="Arial" w:hAnsi="Arial"/>
          <w:b/>
          <w:sz w:val="20"/>
          <w:szCs w:val="20"/>
          <w:lang w:val="en-GB"/>
        </w:rPr>
        <w:t xml:space="preserve">Jeffrey Jones &amp; Company </w:t>
      </w:r>
    </w:p>
    <w:p w14:paraId="14663645" w14:textId="77777777" w:rsidR="00E81B25" w:rsidRPr="00AB6AA7" w:rsidRDefault="00E81B25" w:rsidP="00E81B25">
      <w:pPr>
        <w:rPr>
          <w:rFonts w:ascii="Arial" w:hAnsi="Arial"/>
          <w:sz w:val="20"/>
          <w:szCs w:val="20"/>
          <w:lang w:val="en-GB"/>
        </w:rPr>
      </w:pPr>
      <w:r w:rsidRPr="00AB6AA7">
        <w:rPr>
          <w:rFonts w:ascii="Arial" w:hAnsi="Arial"/>
          <w:sz w:val="20"/>
          <w:szCs w:val="20"/>
          <w:lang w:val="en-GB"/>
        </w:rPr>
        <w:t>Independent senior lawyer based out of Sointola, BC, with over 20 years of experience as a Crown prosecutor, including for environmental violations under the Fisheries Act.</w:t>
      </w:r>
    </w:p>
    <w:p w14:paraId="303CAE2A" w14:textId="77777777" w:rsidR="00E81B25" w:rsidRPr="00AB6AA7" w:rsidRDefault="00E81B25" w:rsidP="00E81B25">
      <w:pPr>
        <w:rPr>
          <w:rFonts w:ascii="Arial" w:hAnsi="Arial"/>
          <w:sz w:val="20"/>
          <w:szCs w:val="20"/>
          <w:lang w:val="en-GB"/>
        </w:rPr>
      </w:pPr>
    </w:p>
    <w:p w14:paraId="22F24478" w14:textId="77777777" w:rsidR="00E81B25" w:rsidRPr="00AB6AA7" w:rsidRDefault="00E81B25" w:rsidP="00E81B25">
      <w:pPr>
        <w:rPr>
          <w:rFonts w:ascii="Arial" w:hAnsi="Arial"/>
          <w:b/>
          <w:sz w:val="20"/>
          <w:szCs w:val="20"/>
          <w:lang w:val="en-GB"/>
        </w:rPr>
      </w:pPr>
      <w:r w:rsidRPr="00AB6AA7">
        <w:rPr>
          <w:rFonts w:ascii="Arial" w:hAnsi="Arial"/>
          <w:b/>
          <w:sz w:val="20"/>
          <w:szCs w:val="20"/>
          <w:lang w:val="en-GB"/>
        </w:rPr>
        <w:t>Ethan Krindle Barrister &amp; Solicitor</w:t>
      </w:r>
    </w:p>
    <w:p w14:paraId="433986CF" w14:textId="038C0350" w:rsidR="00E81B25" w:rsidRPr="00AB6AA7" w:rsidRDefault="00E81B25" w:rsidP="00E81B25">
      <w:pPr>
        <w:rPr>
          <w:rFonts w:ascii="Arial" w:hAnsi="Arial"/>
          <w:sz w:val="20"/>
          <w:szCs w:val="20"/>
          <w:lang w:val="en-GB"/>
        </w:rPr>
      </w:pPr>
      <w:r w:rsidRPr="00AB6AA7">
        <w:rPr>
          <w:rFonts w:ascii="Arial" w:hAnsi="Arial"/>
          <w:sz w:val="20"/>
          <w:szCs w:val="20"/>
          <w:lang w:val="en-GB"/>
        </w:rPr>
        <w:t>Independent lawyer based out of Victoria, BC, with several years of experiences in environmental law, including with both West</w:t>
      </w:r>
      <w:r w:rsidR="00453E1D">
        <w:rPr>
          <w:rFonts w:ascii="Arial" w:hAnsi="Arial"/>
          <w:sz w:val="20"/>
          <w:szCs w:val="20"/>
          <w:lang w:val="en-GB"/>
        </w:rPr>
        <w:t xml:space="preserve"> C</w:t>
      </w:r>
      <w:r w:rsidRPr="00AB6AA7">
        <w:rPr>
          <w:rFonts w:ascii="Arial" w:hAnsi="Arial"/>
          <w:sz w:val="20"/>
          <w:szCs w:val="20"/>
          <w:lang w:val="en-GB"/>
        </w:rPr>
        <w:t xml:space="preserve">oast Environmental Law </w:t>
      </w:r>
      <w:r w:rsidR="00453E1D">
        <w:rPr>
          <w:rFonts w:ascii="Arial" w:hAnsi="Arial"/>
          <w:sz w:val="20"/>
          <w:szCs w:val="20"/>
          <w:lang w:val="en-GB"/>
        </w:rPr>
        <w:t xml:space="preserve">Association </w:t>
      </w:r>
      <w:r w:rsidRPr="00AB6AA7">
        <w:rPr>
          <w:rFonts w:ascii="Arial" w:hAnsi="Arial"/>
          <w:sz w:val="20"/>
          <w:szCs w:val="20"/>
          <w:lang w:val="en-GB"/>
        </w:rPr>
        <w:t>&amp; Ecojustice.</w:t>
      </w:r>
    </w:p>
    <w:p w14:paraId="10F59D87" w14:textId="77777777" w:rsidR="00E81B25" w:rsidRPr="00AB6AA7" w:rsidRDefault="00E81B25" w:rsidP="00E81B25">
      <w:pPr>
        <w:rPr>
          <w:rFonts w:ascii="Arial" w:hAnsi="Arial"/>
          <w:sz w:val="20"/>
          <w:szCs w:val="20"/>
          <w:lang w:val="en-GB"/>
        </w:rPr>
      </w:pPr>
    </w:p>
    <w:p w14:paraId="39A8EDDB" w14:textId="77777777" w:rsidR="00E81B25" w:rsidRPr="00AB6AA7" w:rsidRDefault="00E81B25" w:rsidP="001D6704">
      <w:pPr>
        <w:rPr>
          <w:rFonts w:ascii="Arial" w:hAnsi="Arial"/>
          <w:sz w:val="20"/>
          <w:szCs w:val="20"/>
          <w:lang w:val="en-GB"/>
        </w:rPr>
      </w:pPr>
    </w:p>
    <w:p w14:paraId="20B9ABAC" w14:textId="77777777" w:rsidR="004B09BB" w:rsidRPr="00AB6AA7" w:rsidRDefault="004B09BB" w:rsidP="00E81B25">
      <w:pPr>
        <w:pStyle w:val="Titre2"/>
        <w:rPr>
          <w:lang w:val="en-GB"/>
        </w:rPr>
      </w:pPr>
      <w:bookmarkStart w:id="5" w:name="_Toc464474237"/>
      <w:r w:rsidRPr="00AB6AA7">
        <w:rPr>
          <w:lang w:val="en-GB"/>
        </w:rPr>
        <w:t>1. Factual Background</w:t>
      </w:r>
      <w:bookmarkEnd w:id="5"/>
    </w:p>
    <w:p w14:paraId="0DFBB968" w14:textId="77777777" w:rsidR="004B09BB" w:rsidRPr="00AB6AA7" w:rsidRDefault="004B09BB" w:rsidP="001D6704">
      <w:pPr>
        <w:rPr>
          <w:rFonts w:ascii="Arial" w:hAnsi="Arial"/>
          <w:sz w:val="20"/>
          <w:szCs w:val="20"/>
          <w:lang w:val="en-GB"/>
        </w:rPr>
      </w:pPr>
    </w:p>
    <w:p w14:paraId="0D048F0B"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Mount Polley Mine (“the Mine”) is a copper and gold mine located in the Central Interior of British Columbia, approximately 65 km northeast of Williams Lake, near the community of Likely and on the traditional territories of the Xat’sull (Soda Creek) and T’exelc (Williams Lake Indian Band) Nations.</w:t>
      </w:r>
    </w:p>
    <w:p w14:paraId="02F05EAF" w14:textId="77777777" w:rsidR="004B09BB" w:rsidRPr="00AB6AA7" w:rsidRDefault="004B09BB" w:rsidP="001D6704">
      <w:pPr>
        <w:rPr>
          <w:rFonts w:ascii="Arial" w:hAnsi="Arial"/>
          <w:sz w:val="20"/>
          <w:szCs w:val="20"/>
          <w:lang w:val="en-GB"/>
        </w:rPr>
      </w:pPr>
    </w:p>
    <w:p w14:paraId="5A6D1034" w14:textId="16C91698" w:rsidR="004B09BB" w:rsidRPr="00AB6AA7" w:rsidRDefault="004B09BB" w:rsidP="001D6704">
      <w:pPr>
        <w:rPr>
          <w:rFonts w:ascii="Arial" w:hAnsi="Arial"/>
          <w:sz w:val="20"/>
          <w:szCs w:val="20"/>
          <w:lang w:val="en-GB"/>
        </w:rPr>
      </w:pPr>
      <w:r w:rsidRPr="00AB6AA7">
        <w:rPr>
          <w:rFonts w:ascii="Arial" w:hAnsi="Arial"/>
          <w:sz w:val="20"/>
          <w:szCs w:val="20"/>
          <w:lang w:val="en-GB"/>
        </w:rPr>
        <w:t>The Mine commenced production on June 13, 1997, and remained in operation until September 2001, when operations were temporarily halted.</w:t>
      </w:r>
      <w:r w:rsidR="009059F4">
        <w:rPr>
          <w:rFonts w:ascii="Arial" w:hAnsi="Arial"/>
          <w:sz w:val="20"/>
          <w:szCs w:val="20"/>
          <w:lang w:val="en-GB"/>
        </w:rPr>
        <w:t xml:space="preserve"> </w:t>
      </w:r>
      <w:r w:rsidRPr="00AB6AA7">
        <w:rPr>
          <w:rFonts w:ascii="Arial" w:hAnsi="Arial"/>
          <w:sz w:val="20"/>
          <w:szCs w:val="20"/>
          <w:lang w:val="en-GB"/>
        </w:rPr>
        <w:t xml:space="preserve">Mining operations resumed in March 2005 and continued until August 2014, when the dam breach. It resumed partial production in mid-2015 and full production in mid-2016. </w:t>
      </w:r>
    </w:p>
    <w:p w14:paraId="25137050" w14:textId="77777777" w:rsidR="004B09BB" w:rsidRPr="00AB6AA7" w:rsidRDefault="004B09BB" w:rsidP="001D6704">
      <w:pPr>
        <w:rPr>
          <w:rFonts w:ascii="Arial" w:hAnsi="Arial"/>
          <w:sz w:val="20"/>
          <w:szCs w:val="20"/>
          <w:lang w:val="en-GB"/>
        </w:rPr>
      </w:pPr>
    </w:p>
    <w:p w14:paraId="75C87A3C" w14:textId="3B747001" w:rsidR="004B09BB" w:rsidRPr="00AB6AA7" w:rsidRDefault="004B09BB" w:rsidP="001D6704">
      <w:pPr>
        <w:rPr>
          <w:rFonts w:ascii="Arial" w:hAnsi="Arial"/>
          <w:sz w:val="20"/>
          <w:szCs w:val="20"/>
          <w:lang w:val="en-GB"/>
        </w:rPr>
      </w:pPr>
      <w:r w:rsidRPr="00AB6AA7">
        <w:rPr>
          <w:rFonts w:ascii="Arial" w:hAnsi="Arial"/>
          <w:sz w:val="20"/>
          <w:szCs w:val="20"/>
          <w:lang w:val="en-GB"/>
        </w:rPr>
        <w:t>The Mine stored its tailings in a Tailings Storage Facility (TSF) located 3km southeast of the mill site.</w:t>
      </w:r>
      <w:r w:rsidR="009059F4">
        <w:rPr>
          <w:rFonts w:ascii="Arial" w:hAnsi="Arial"/>
          <w:sz w:val="20"/>
          <w:szCs w:val="20"/>
          <w:lang w:val="en-GB"/>
        </w:rPr>
        <w:t xml:space="preserve"> </w:t>
      </w:r>
      <w:r w:rsidRPr="00AB6AA7">
        <w:rPr>
          <w:rFonts w:ascii="Arial" w:hAnsi="Arial"/>
          <w:sz w:val="20"/>
          <w:szCs w:val="20"/>
          <w:lang w:val="en-GB"/>
        </w:rPr>
        <w:t>The TSF was a U-shaped earthen dam over 4km long and 50m high, and consisted of three embankments: the Main Embankment (ME), the South Embankment (SE), and the Perimeter Embankment (PE). The TSF served as a collection pond for mill tailings as well as mine runoff water.</w:t>
      </w:r>
    </w:p>
    <w:p w14:paraId="27065373" w14:textId="77777777" w:rsidR="004B09BB" w:rsidRPr="00AB6AA7" w:rsidRDefault="004B09BB" w:rsidP="001D6704">
      <w:pPr>
        <w:rPr>
          <w:rFonts w:ascii="Arial" w:hAnsi="Arial"/>
          <w:sz w:val="20"/>
          <w:szCs w:val="20"/>
          <w:lang w:val="en-GB"/>
        </w:rPr>
      </w:pPr>
    </w:p>
    <w:p w14:paraId="38BC1BCC"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The TSF was located above Hazeltine Creek, a local watercourse connected to Polley Lake at its upstream end and Quesnel Lake at its downstream end, as well as other connected watercourses such as Edney Creek.</w:t>
      </w:r>
    </w:p>
    <w:p w14:paraId="238343B8" w14:textId="77777777" w:rsidR="004B09BB" w:rsidRPr="00AB6AA7" w:rsidRDefault="004B09BB" w:rsidP="001D6704">
      <w:pPr>
        <w:rPr>
          <w:rFonts w:ascii="Arial" w:hAnsi="Arial"/>
          <w:sz w:val="20"/>
          <w:szCs w:val="20"/>
          <w:lang w:val="en-GB"/>
        </w:rPr>
      </w:pPr>
    </w:p>
    <w:p w14:paraId="7DC99ED1"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Hazeltine Creek, Edney Creek, Polley Lake, Quesnel Lake and Quesnel River all contain fish habitat for one or more commercially significant species, such as Rainbow Trout and Chinook, Coho and Sockeye Salmon.</w:t>
      </w:r>
    </w:p>
    <w:p w14:paraId="3ADEA1E0" w14:textId="77777777" w:rsidR="004B09BB" w:rsidRPr="00AB6AA7" w:rsidRDefault="004B09BB" w:rsidP="001D6704">
      <w:pPr>
        <w:rPr>
          <w:rFonts w:ascii="Arial" w:hAnsi="Arial"/>
          <w:sz w:val="20"/>
          <w:szCs w:val="20"/>
          <w:lang w:val="en-GB"/>
        </w:rPr>
      </w:pPr>
    </w:p>
    <w:p w14:paraId="09F4E239" w14:textId="7CF9A556" w:rsidR="004B09BB" w:rsidRPr="00AB6AA7" w:rsidRDefault="004B09BB" w:rsidP="001D6704">
      <w:pPr>
        <w:rPr>
          <w:rFonts w:ascii="Arial" w:hAnsi="Arial"/>
          <w:sz w:val="20"/>
          <w:szCs w:val="20"/>
          <w:lang w:val="en-GB"/>
        </w:rPr>
      </w:pPr>
      <w:r w:rsidRPr="00AB6AA7">
        <w:rPr>
          <w:rFonts w:ascii="Arial" w:hAnsi="Arial"/>
          <w:sz w:val="20"/>
          <w:szCs w:val="20"/>
          <w:lang w:val="en-GB"/>
        </w:rPr>
        <w:t>The Mine is owned and operated by Mount Polley Mining Corporation (MPMC).</w:t>
      </w:r>
      <w:r w:rsidR="009059F4">
        <w:rPr>
          <w:rFonts w:ascii="Arial" w:hAnsi="Arial"/>
          <w:sz w:val="20"/>
          <w:szCs w:val="20"/>
          <w:lang w:val="en-GB"/>
        </w:rPr>
        <w:t xml:space="preserve"> </w:t>
      </w:r>
      <w:r w:rsidRPr="00AB6AA7">
        <w:rPr>
          <w:rFonts w:ascii="Arial" w:hAnsi="Arial"/>
          <w:sz w:val="20"/>
          <w:szCs w:val="20"/>
          <w:lang w:val="en-GB"/>
        </w:rPr>
        <w:t>MPMC is a subsidiary of Imperial Metals Corporation, a Canadian mining company with its corporate head office in Vancouver, British Columbia.</w:t>
      </w:r>
    </w:p>
    <w:p w14:paraId="12976200" w14:textId="77777777" w:rsidR="004B09BB" w:rsidRPr="00AB6AA7" w:rsidRDefault="004B09BB" w:rsidP="001D6704">
      <w:pPr>
        <w:rPr>
          <w:rFonts w:ascii="Arial" w:hAnsi="Arial"/>
          <w:sz w:val="20"/>
          <w:szCs w:val="20"/>
          <w:lang w:val="en-GB"/>
        </w:rPr>
      </w:pPr>
    </w:p>
    <w:p w14:paraId="549763CE" w14:textId="4BBE8289" w:rsidR="004B09BB" w:rsidRPr="00AB6AA7" w:rsidRDefault="004B09BB" w:rsidP="001D6704">
      <w:pPr>
        <w:rPr>
          <w:rFonts w:ascii="Arial" w:hAnsi="Arial"/>
          <w:sz w:val="20"/>
          <w:szCs w:val="20"/>
          <w:lang w:val="en-GB"/>
        </w:rPr>
      </w:pPr>
      <w:r w:rsidRPr="00AB6AA7">
        <w:rPr>
          <w:rFonts w:ascii="Arial" w:hAnsi="Arial"/>
          <w:sz w:val="20"/>
          <w:szCs w:val="20"/>
          <w:lang w:val="en-GB"/>
        </w:rPr>
        <w:t>MPMC engaged the services of outside engineering consultants to provide technical expertise in site investigation and structural design of the TSF.</w:t>
      </w:r>
      <w:r w:rsidR="009059F4">
        <w:rPr>
          <w:rFonts w:ascii="Arial" w:hAnsi="Arial"/>
          <w:sz w:val="20"/>
          <w:szCs w:val="20"/>
          <w:lang w:val="en-GB"/>
        </w:rPr>
        <w:t xml:space="preserve"> </w:t>
      </w:r>
      <w:r w:rsidRPr="00AB6AA7">
        <w:rPr>
          <w:rFonts w:ascii="Arial" w:hAnsi="Arial"/>
          <w:sz w:val="20"/>
          <w:szCs w:val="20"/>
          <w:lang w:val="en-GB"/>
        </w:rPr>
        <w:t>MPMC engaged three engineering consultants over the lifetime of the TSF.</w:t>
      </w:r>
      <w:r w:rsidR="009059F4">
        <w:rPr>
          <w:rFonts w:ascii="Arial" w:hAnsi="Arial"/>
          <w:sz w:val="20"/>
          <w:szCs w:val="20"/>
          <w:lang w:val="en-GB"/>
        </w:rPr>
        <w:t xml:space="preserve"> </w:t>
      </w:r>
      <w:r w:rsidRPr="00AB6AA7">
        <w:rPr>
          <w:rFonts w:ascii="Arial" w:hAnsi="Arial"/>
          <w:sz w:val="20"/>
          <w:szCs w:val="20"/>
          <w:lang w:val="en-GB"/>
        </w:rPr>
        <w:t>Knight Piésold (KP) was the Engineer of Record (EoR) for the TSF from the feasibility design stage through 2010.</w:t>
      </w:r>
      <w:r w:rsidR="009059F4">
        <w:rPr>
          <w:rFonts w:ascii="Arial" w:hAnsi="Arial"/>
          <w:sz w:val="20"/>
          <w:szCs w:val="20"/>
          <w:lang w:val="en-GB"/>
        </w:rPr>
        <w:t xml:space="preserve"> </w:t>
      </w:r>
      <w:r w:rsidRPr="00AB6AA7">
        <w:rPr>
          <w:rFonts w:ascii="Arial" w:hAnsi="Arial"/>
          <w:sz w:val="20"/>
          <w:szCs w:val="20"/>
          <w:lang w:val="en-GB"/>
        </w:rPr>
        <w:t>AMEC Foster Wheeler (AMEC) took over in January 2011, and was the EoR at the time of the dam breach.</w:t>
      </w:r>
      <w:r w:rsidR="009059F4">
        <w:rPr>
          <w:rFonts w:ascii="Arial" w:hAnsi="Arial"/>
          <w:sz w:val="20"/>
          <w:szCs w:val="20"/>
          <w:lang w:val="en-GB"/>
        </w:rPr>
        <w:t xml:space="preserve"> </w:t>
      </w:r>
      <w:r w:rsidRPr="00AB6AA7">
        <w:rPr>
          <w:rFonts w:ascii="Arial" w:hAnsi="Arial"/>
          <w:sz w:val="20"/>
          <w:szCs w:val="20"/>
          <w:lang w:val="en-GB"/>
        </w:rPr>
        <w:t>BCG Engineering Inc. (BCG) was intended to take over as EoR later in 2014.</w:t>
      </w:r>
    </w:p>
    <w:p w14:paraId="4EDCAC74" w14:textId="77777777" w:rsidR="004B09BB" w:rsidRPr="00AB6AA7" w:rsidRDefault="004B09BB" w:rsidP="001D6704">
      <w:pPr>
        <w:rPr>
          <w:rFonts w:ascii="Arial" w:hAnsi="Arial"/>
          <w:sz w:val="20"/>
          <w:szCs w:val="20"/>
          <w:lang w:val="en-GB"/>
        </w:rPr>
      </w:pPr>
    </w:p>
    <w:p w14:paraId="02D0B716" w14:textId="66A2AFE9" w:rsidR="004B09BB" w:rsidRPr="00AB6AA7" w:rsidRDefault="004B09BB" w:rsidP="001D6704">
      <w:pPr>
        <w:rPr>
          <w:rFonts w:ascii="Arial" w:hAnsi="Arial"/>
          <w:sz w:val="20"/>
          <w:szCs w:val="20"/>
          <w:lang w:val="en-GB"/>
        </w:rPr>
      </w:pPr>
      <w:r w:rsidRPr="00AB6AA7">
        <w:rPr>
          <w:rFonts w:ascii="Arial" w:hAnsi="Arial"/>
          <w:sz w:val="20"/>
          <w:szCs w:val="20"/>
          <w:lang w:val="en-GB"/>
        </w:rPr>
        <w:t>On the night of August 3-4, 2014, the dam enclosing the TSF at Mount Polley Mine failed. Over the next 16 hours, the failure led to a progressive breach of the PE, releasing over 21 million cubic met</w:t>
      </w:r>
      <w:r w:rsidR="009059F4">
        <w:rPr>
          <w:rFonts w:ascii="Arial" w:hAnsi="Arial"/>
          <w:sz w:val="20"/>
          <w:szCs w:val="20"/>
          <w:lang w:val="en-GB"/>
        </w:rPr>
        <w:t>r</w:t>
      </w:r>
      <w:r w:rsidRPr="00AB6AA7">
        <w:rPr>
          <w:rFonts w:ascii="Arial" w:hAnsi="Arial"/>
          <w:sz w:val="20"/>
          <w:szCs w:val="20"/>
          <w:lang w:val="en-GB"/>
        </w:rPr>
        <w:t>es of water and mine tailings into the surrounding environment.</w:t>
      </w:r>
    </w:p>
    <w:p w14:paraId="1C0C6B69" w14:textId="77777777" w:rsidR="004B09BB" w:rsidRPr="00AB6AA7" w:rsidRDefault="004B09BB" w:rsidP="001D6704">
      <w:pPr>
        <w:rPr>
          <w:rFonts w:ascii="Arial" w:hAnsi="Arial"/>
          <w:sz w:val="20"/>
          <w:szCs w:val="20"/>
          <w:lang w:val="en-GB"/>
        </w:rPr>
      </w:pPr>
    </w:p>
    <w:p w14:paraId="23815944" w14:textId="5A50FEBA" w:rsidR="004B09BB" w:rsidRPr="00AB6AA7" w:rsidRDefault="004B09BB" w:rsidP="001D6704">
      <w:pPr>
        <w:rPr>
          <w:rFonts w:ascii="Arial" w:hAnsi="Arial"/>
          <w:sz w:val="20"/>
          <w:szCs w:val="20"/>
          <w:lang w:val="en-GB"/>
        </w:rPr>
      </w:pPr>
      <w:r w:rsidRPr="00AB6AA7">
        <w:rPr>
          <w:rFonts w:ascii="Arial" w:hAnsi="Arial"/>
          <w:sz w:val="20"/>
          <w:szCs w:val="20"/>
          <w:lang w:val="en-GB"/>
        </w:rPr>
        <w:t>The debris flow entered Hazletine Creek, scouring the channel and floodplain, and flowing upstream to Polley Lake and downstream to Quesnel Lake.</w:t>
      </w:r>
      <w:r w:rsidR="009059F4">
        <w:rPr>
          <w:rFonts w:ascii="Arial" w:hAnsi="Arial"/>
          <w:sz w:val="20"/>
          <w:szCs w:val="20"/>
          <w:lang w:val="en-GB"/>
        </w:rPr>
        <w:t xml:space="preserve"> </w:t>
      </w:r>
      <w:r w:rsidRPr="00AB6AA7">
        <w:rPr>
          <w:rFonts w:ascii="Arial" w:hAnsi="Arial"/>
          <w:sz w:val="20"/>
          <w:szCs w:val="20"/>
          <w:lang w:val="en-GB"/>
        </w:rPr>
        <w:t>A thick deposit of tailings plugged the entrance to Polley Lake, blocking the flow of water – this obstruction has come to be known as the “Polley Plug”.</w:t>
      </w:r>
      <w:r w:rsidR="009059F4">
        <w:rPr>
          <w:rFonts w:ascii="Arial" w:hAnsi="Arial"/>
          <w:sz w:val="20"/>
          <w:szCs w:val="20"/>
          <w:lang w:val="en-GB"/>
        </w:rPr>
        <w:t xml:space="preserve"> </w:t>
      </w:r>
    </w:p>
    <w:p w14:paraId="344A4013" w14:textId="77777777" w:rsidR="004B09BB" w:rsidRPr="00AB6AA7" w:rsidRDefault="004B09BB" w:rsidP="001D6704">
      <w:pPr>
        <w:rPr>
          <w:rFonts w:ascii="Arial" w:hAnsi="Arial"/>
          <w:sz w:val="20"/>
          <w:szCs w:val="20"/>
          <w:lang w:val="en-GB"/>
        </w:rPr>
      </w:pPr>
    </w:p>
    <w:p w14:paraId="1F88DF7D"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The entrance to Edney Creek where it joins Hazeltine Creek was scoured, resulting in a 2m drop in elevation, and the downstream-most 850m of Edney Creek were affected by debris deposition. </w:t>
      </w:r>
    </w:p>
    <w:p w14:paraId="60F275EE" w14:textId="77777777" w:rsidR="004B09BB" w:rsidRPr="00AB6AA7" w:rsidRDefault="004B09BB" w:rsidP="001D6704">
      <w:pPr>
        <w:rPr>
          <w:rFonts w:ascii="Arial" w:hAnsi="Arial"/>
          <w:sz w:val="20"/>
          <w:szCs w:val="20"/>
          <w:lang w:val="en-GB"/>
        </w:rPr>
      </w:pPr>
    </w:p>
    <w:p w14:paraId="50A31C27"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Approximately 18.6 million m</w:t>
      </w:r>
      <w:r w:rsidRPr="00AB6AA7">
        <w:rPr>
          <w:rFonts w:ascii="Arial" w:hAnsi="Arial"/>
          <w:sz w:val="20"/>
          <w:szCs w:val="20"/>
          <w:vertAlign w:val="superscript"/>
          <w:lang w:val="en-GB"/>
        </w:rPr>
        <w:t>3</w:t>
      </w:r>
      <w:r w:rsidRPr="00AB6AA7">
        <w:rPr>
          <w:rFonts w:ascii="Arial" w:hAnsi="Arial"/>
          <w:sz w:val="20"/>
          <w:szCs w:val="20"/>
          <w:lang w:val="en-GB"/>
        </w:rPr>
        <w:t xml:space="preserve"> of water and materials flowed into Quesnel Lake, some of which settled to the lake bottom and some of which remained suspended as “cloudy water” that returned to the surface of the lake in the late fall.</w:t>
      </w:r>
    </w:p>
    <w:p w14:paraId="1C7BE534" w14:textId="77777777" w:rsidR="004B09BB" w:rsidRPr="00AB6AA7" w:rsidRDefault="004B09BB" w:rsidP="001D6704">
      <w:pPr>
        <w:rPr>
          <w:rFonts w:ascii="Arial" w:hAnsi="Arial"/>
          <w:sz w:val="20"/>
          <w:szCs w:val="20"/>
          <w:lang w:val="en-GB"/>
        </w:rPr>
      </w:pPr>
    </w:p>
    <w:p w14:paraId="5814B7FB" w14:textId="70490C98" w:rsidR="004B09BB" w:rsidRPr="00AB6AA7" w:rsidRDefault="005E549B" w:rsidP="001D6704">
      <w:pPr>
        <w:rPr>
          <w:rFonts w:ascii="Arial" w:hAnsi="Arial"/>
          <w:sz w:val="20"/>
          <w:szCs w:val="20"/>
          <w:lang w:val="en-GB"/>
        </w:rPr>
      </w:pPr>
      <w:r w:rsidRPr="00AB6AA7">
        <w:rPr>
          <w:rFonts w:ascii="Arial" w:hAnsi="Arial"/>
          <w:sz w:val="20"/>
          <w:szCs w:val="20"/>
          <w:lang w:val="en-GB"/>
        </w:rPr>
        <w:t>In December 2015, a</w:t>
      </w:r>
      <w:r w:rsidR="004B09BB" w:rsidRPr="00AB6AA7">
        <w:rPr>
          <w:rFonts w:ascii="Arial" w:hAnsi="Arial"/>
          <w:sz w:val="20"/>
          <w:szCs w:val="20"/>
          <w:lang w:val="en-GB"/>
        </w:rPr>
        <w:t>n investiga</w:t>
      </w:r>
      <w:r w:rsidRPr="00AB6AA7">
        <w:rPr>
          <w:rFonts w:ascii="Arial" w:hAnsi="Arial"/>
          <w:sz w:val="20"/>
          <w:szCs w:val="20"/>
          <w:lang w:val="en-GB"/>
        </w:rPr>
        <w:t>tion by the Chief Inspector of </w:t>
      </w:r>
      <w:r w:rsidR="004B09BB" w:rsidRPr="00AB6AA7">
        <w:rPr>
          <w:rFonts w:ascii="Arial" w:hAnsi="Arial"/>
          <w:sz w:val="20"/>
          <w:szCs w:val="20"/>
          <w:lang w:val="en-GB"/>
        </w:rPr>
        <w:t xml:space="preserve">Mines concluded that the TSF failed because the embankment slid on a layer of lightly overconsolidated glaciolacustrine clay (the “Upper Glaciolacustrine Unit”, or “UGLU”) located approximately ten </w:t>
      </w:r>
      <w:r w:rsidR="009059F4" w:rsidRPr="00AB6AA7">
        <w:rPr>
          <w:rFonts w:ascii="Arial" w:hAnsi="Arial"/>
          <w:sz w:val="20"/>
          <w:szCs w:val="20"/>
          <w:lang w:val="en-GB"/>
        </w:rPr>
        <w:t>met</w:t>
      </w:r>
      <w:r w:rsidR="009059F4">
        <w:rPr>
          <w:rFonts w:ascii="Arial" w:hAnsi="Arial"/>
          <w:sz w:val="20"/>
          <w:szCs w:val="20"/>
          <w:lang w:val="en-GB"/>
        </w:rPr>
        <w:t>re</w:t>
      </w:r>
      <w:r w:rsidR="009059F4" w:rsidRPr="00AB6AA7">
        <w:rPr>
          <w:rFonts w:ascii="Arial" w:hAnsi="Arial"/>
          <w:sz w:val="20"/>
          <w:szCs w:val="20"/>
          <w:lang w:val="en-GB"/>
        </w:rPr>
        <w:t xml:space="preserve">s </w:t>
      </w:r>
      <w:r w:rsidR="004B09BB" w:rsidRPr="00AB6AA7">
        <w:rPr>
          <w:rFonts w:ascii="Arial" w:hAnsi="Arial"/>
          <w:sz w:val="20"/>
          <w:szCs w:val="20"/>
          <w:lang w:val="en-GB"/>
        </w:rPr>
        <w:t>into the dam's foundation.</w:t>
      </w:r>
      <w:r w:rsidR="009059F4">
        <w:rPr>
          <w:rFonts w:ascii="Arial" w:hAnsi="Arial"/>
          <w:sz w:val="20"/>
          <w:szCs w:val="20"/>
          <w:lang w:val="en-GB"/>
        </w:rPr>
        <w:t xml:space="preserve"> </w:t>
      </w:r>
      <w:r w:rsidR="004B09BB" w:rsidRPr="00AB6AA7">
        <w:rPr>
          <w:rFonts w:ascii="Arial" w:hAnsi="Arial"/>
          <w:sz w:val="20"/>
          <w:szCs w:val="20"/>
          <w:lang w:val="en-GB"/>
        </w:rPr>
        <w:t>The UGLU had never been properly characterized by MPMC or its engineers.</w:t>
      </w:r>
    </w:p>
    <w:p w14:paraId="2DE30BF3" w14:textId="77777777" w:rsidR="004B09BB" w:rsidRPr="00AB6AA7" w:rsidRDefault="004B09BB" w:rsidP="001D6704">
      <w:pPr>
        <w:rPr>
          <w:rFonts w:ascii="Arial" w:hAnsi="Arial"/>
          <w:sz w:val="20"/>
          <w:szCs w:val="20"/>
          <w:lang w:val="en-GB"/>
        </w:rPr>
      </w:pPr>
    </w:p>
    <w:p w14:paraId="7A4E351A"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The Chief Inspector also found that several other proximate causes contributed to the dam breach: the downstream slope of the dam was over-steep for its height; there was an unfilled excavation at the toe of the embankment; and there was an excess of supernatant water in the TSF combined with inadequate tailings beaches.</w:t>
      </w:r>
    </w:p>
    <w:p w14:paraId="25581FC2" w14:textId="77777777" w:rsidR="004B09BB" w:rsidRPr="00AB6AA7" w:rsidRDefault="004B09BB" w:rsidP="001D6704">
      <w:pPr>
        <w:rPr>
          <w:rFonts w:ascii="Arial" w:hAnsi="Arial"/>
          <w:sz w:val="20"/>
          <w:szCs w:val="20"/>
          <w:lang w:val="en-GB"/>
        </w:rPr>
      </w:pPr>
    </w:p>
    <w:p w14:paraId="40C70BF3"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An independent investigation by the Independent Expert Engineering Investigation and Review Panel</w:t>
      </w:r>
      <w:r w:rsidR="005E549B" w:rsidRPr="00AB6AA7">
        <w:rPr>
          <w:rFonts w:ascii="Arial" w:hAnsi="Arial"/>
          <w:sz w:val="20"/>
          <w:szCs w:val="20"/>
          <w:lang w:val="en-GB"/>
        </w:rPr>
        <w:t xml:space="preserve"> </w:t>
      </w:r>
      <w:r w:rsidRPr="00AB6AA7">
        <w:rPr>
          <w:rFonts w:ascii="Arial" w:hAnsi="Arial"/>
          <w:sz w:val="20"/>
          <w:szCs w:val="20"/>
          <w:lang w:val="en-GB"/>
        </w:rPr>
        <w:t>came to similar conclusions</w:t>
      </w:r>
      <w:r w:rsidR="005E549B" w:rsidRPr="00AB6AA7">
        <w:rPr>
          <w:rFonts w:ascii="Arial" w:hAnsi="Arial"/>
          <w:sz w:val="20"/>
          <w:szCs w:val="20"/>
          <w:lang w:val="en-GB"/>
        </w:rPr>
        <w:t xml:space="preserve"> in January 2015</w:t>
      </w:r>
      <w:r w:rsidRPr="00AB6AA7">
        <w:rPr>
          <w:rFonts w:ascii="Arial" w:hAnsi="Arial"/>
          <w:sz w:val="20"/>
          <w:szCs w:val="20"/>
          <w:lang w:val="en-GB"/>
        </w:rPr>
        <w:t>.</w:t>
      </w:r>
    </w:p>
    <w:p w14:paraId="2F224524" w14:textId="77777777" w:rsidR="0044737B" w:rsidRPr="00AB6AA7" w:rsidRDefault="0044737B" w:rsidP="0044737B">
      <w:pPr>
        <w:rPr>
          <w:rFonts w:ascii="Arial" w:hAnsi="Arial"/>
          <w:sz w:val="20"/>
          <w:szCs w:val="20"/>
          <w:lang w:val="en-GB"/>
        </w:rPr>
      </w:pPr>
    </w:p>
    <w:p w14:paraId="50C34414" w14:textId="77777777" w:rsidR="0044737B" w:rsidRPr="00AB6AA7" w:rsidRDefault="0044737B" w:rsidP="0044737B">
      <w:pPr>
        <w:rPr>
          <w:rFonts w:ascii="Arial" w:hAnsi="Arial"/>
          <w:sz w:val="20"/>
          <w:szCs w:val="20"/>
          <w:lang w:val="en-GB"/>
        </w:rPr>
      </w:pPr>
      <w:r w:rsidRPr="00AB6AA7">
        <w:rPr>
          <w:rFonts w:ascii="Arial" w:hAnsi="Arial"/>
          <w:sz w:val="20"/>
          <w:szCs w:val="20"/>
          <w:lang w:val="en-GB"/>
        </w:rPr>
        <w:t xml:space="preserve">In May 2016, </w:t>
      </w:r>
      <w:r w:rsidRPr="00AB6AA7">
        <w:rPr>
          <w:rFonts w:ascii="Arial" w:hAnsi="Arial"/>
          <w:i/>
          <w:sz w:val="20"/>
          <w:szCs w:val="20"/>
          <w:lang w:val="en-GB"/>
        </w:rPr>
        <w:t>“An Audit of Compliance and Enforcement of the Mining Sector</w:t>
      </w:r>
      <w:r w:rsidRPr="00AB6AA7">
        <w:rPr>
          <w:rFonts w:ascii="Arial" w:hAnsi="Arial"/>
          <w:sz w:val="20"/>
          <w:szCs w:val="20"/>
          <w:lang w:val="en-GB"/>
        </w:rPr>
        <w:t>” prepared by BC’s Auditor General state “[MEM] must ensure the mine is designed, built, operated and reclaimed to an acceptable standard.” BC’s Auditor General found that MEM failed to enforce the law or to apply its policies in connection to the slope design and water level of the TSF.</w:t>
      </w:r>
    </w:p>
    <w:p w14:paraId="6E179079" w14:textId="77777777" w:rsidR="0044737B" w:rsidRPr="00AB6AA7" w:rsidRDefault="0044737B" w:rsidP="005E549B">
      <w:pPr>
        <w:rPr>
          <w:rFonts w:ascii="Arial" w:hAnsi="Arial"/>
          <w:sz w:val="20"/>
          <w:szCs w:val="20"/>
          <w:lang w:val="en-GB"/>
        </w:rPr>
      </w:pPr>
    </w:p>
    <w:p w14:paraId="190E70AA" w14:textId="77777777" w:rsidR="004B09BB" w:rsidRPr="00AB6AA7" w:rsidRDefault="004B09BB" w:rsidP="001D6704">
      <w:pPr>
        <w:rPr>
          <w:rFonts w:ascii="Arial" w:hAnsi="Arial"/>
          <w:sz w:val="20"/>
          <w:szCs w:val="20"/>
          <w:lang w:val="en-GB"/>
        </w:rPr>
      </w:pPr>
    </w:p>
    <w:p w14:paraId="5A04E33A" w14:textId="77777777" w:rsidR="004B09BB" w:rsidRPr="00AB6AA7" w:rsidRDefault="0044737B" w:rsidP="0044737B">
      <w:pPr>
        <w:pStyle w:val="Titre2"/>
        <w:rPr>
          <w:lang w:val="en-GB"/>
        </w:rPr>
      </w:pPr>
      <w:bookmarkStart w:id="6" w:name="_Toc464474238"/>
      <w:r w:rsidRPr="00AB6AA7">
        <w:rPr>
          <w:lang w:val="en-GB"/>
        </w:rPr>
        <w:t xml:space="preserve">2. Section 35(1) </w:t>
      </w:r>
      <w:r w:rsidR="004B09BB" w:rsidRPr="00AB6AA7">
        <w:rPr>
          <w:lang w:val="en-GB"/>
        </w:rPr>
        <w:t>Fisheries Act: ‘Serious Harm to Fish’</w:t>
      </w:r>
      <w:bookmarkEnd w:id="6"/>
    </w:p>
    <w:p w14:paraId="088E0E20" w14:textId="77777777" w:rsidR="004B09BB" w:rsidRPr="00AB6AA7" w:rsidRDefault="004B09BB" w:rsidP="001D6704">
      <w:pPr>
        <w:rPr>
          <w:rFonts w:ascii="Arial" w:hAnsi="Arial"/>
          <w:sz w:val="20"/>
          <w:szCs w:val="20"/>
          <w:lang w:val="en-GB"/>
        </w:rPr>
      </w:pPr>
    </w:p>
    <w:p w14:paraId="4CC0A43C"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Section 35(1) of the </w:t>
      </w:r>
      <w:r w:rsidRPr="00AB6AA7">
        <w:rPr>
          <w:rFonts w:ascii="Arial" w:hAnsi="Arial"/>
          <w:i/>
          <w:iCs/>
          <w:sz w:val="20"/>
          <w:szCs w:val="20"/>
          <w:lang w:val="en-GB"/>
        </w:rPr>
        <w:t>Fisheries Act</w:t>
      </w:r>
      <w:r w:rsidRPr="00AB6AA7">
        <w:rPr>
          <w:rFonts w:ascii="Arial" w:hAnsi="Arial"/>
          <w:sz w:val="20"/>
          <w:szCs w:val="20"/>
          <w:lang w:val="en-GB"/>
        </w:rPr>
        <w:t xml:space="preserve"> prohibits causing “serious harm” to fish that are part of a commercial, recreational or Aboriginal fishery, or that support such a fishery. Serious harm to fish can includes fish mortality, permanent alteration to fish habitat, or destruction of fish habitat.</w:t>
      </w:r>
    </w:p>
    <w:p w14:paraId="15697DFF" w14:textId="77777777" w:rsidR="004B09BB" w:rsidRPr="00AB6AA7" w:rsidRDefault="004B09BB" w:rsidP="001D6704">
      <w:pPr>
        <w:jc w:val="center"/>
        <w:rPr>
          <w:rFonts w:ascii="Arial" w:hAnsi="Arial"/>
          <w:sz w:val="20"/>
          <w:szCs w:val="20"/>
          <w:lang w:val="en-GB"/>
        </w:rPr>
      </w:pPr>
    </w:p>
    <w:p w14:paraId="0B135E35" w14:textId="77777777" w:rsidR="004B09BB" w:rsidRPr="00AB6AA7" w:rsidRDefault="004B09BB" w:rsidP="001D6704">
      <w:pPr>
        <w:jc w:val="center"/>
        <w:rPr>
          <w:rFonts w:ascii="Arial" w:hAnsi="Arial"/>
          <w:i/>
          <w:iCs/>
          <w:sz w:val="20"/>
          <w:szCs w:val="20"/>
          <w:lang w:val="en-GB"/>
        </w:rPr>
      </w:pPr>
      <w:r w:rsidRPr="00AB6AA7">
        <w:rPr>
          <w:rFonts w:ascii="Arial" w:hAnsi="Arial"/>
          <w:i/>
          <w:iCs/>
          <w:sz w:val="20"/>
          <w:szCs w:val="20"/>
          <w:lang w:val="en-GB"/>
        </w:rPr>
        <w:t>“No person shall carry on any work, undertaking or activity that results in serious harm to fish that are part of a commercial, recreational or Aboriginal fishery, or to fish that support such a fishery” - section 35(1)</w:t>
      </w:r>
    </w:p>
    <w:p w14:paraId="0111BE12" w14:textId="77777777" w:rsidR="004B09BB" w:rsidRPr="00AB6AA7" w:rsidRDefault="004B09BB" w:rsidP="001D6704">
      <w:pPr>
        <w:jc w:val="center"/>
        <w:rPr>
          <w:rFonts w:ascii="Arial" w:hAnsi="Arial"/>
          <w:i/>
          <w:iCs/>
          <w:sz w:val="20"/>
          <w:szCs w:val="20"/>
          <w:lang w:val="en-GB"/>
        </w:rPr>
      </w:pPr>
    </w:p>
    <w:p w14:paraId="20B56F77" w14:textId="77777777" w:rsidR="004B09BB" w:rsidRPr="00AB6AA7" w:rsidRDefault="004B09BB" w:rsidP="001D6704">
      <w:pPr>
        <w:jc w:val="center"/>
        <w:rPr>
          <w:rFonts w:ascii="Arial" w:hAnsi="Arial"/>
          <w:i/>
          <w:iCs/>
          <w:sz w:val="20"/>
          <w:szCs w:val="20"/>
          <w:lang w:val="en-GB"/>
        </w:rPr>
      </w:pPr>
      <w:r w:rsidRPr="00AB6AA7">
        <w:rPr>
          <w:rFonts w:ascii="Arial" w:hAnsi="Arial"/>
          <w:i/>
          <w:iCs/>
          <w:sz w:val="20"/>
          <w:szCs w:val="20"/>
          <w:lang w:val="en-GB"/>
        </w:rPr>
        <w:t>“For the purposes of this Act, serious harm to fish is the death of fish or any permanent alteration to, or destruction of, fish habitat” - section 2(2)</w:t>
      </w:r>
    </w:p>
    <w:p w14:paraId="6B81E12D" w14:textId="77777777" w:rsidR="004B09BB" w:rsidRPr="00AB6AA7" w:rsidRDefault="004B09BB" w:rsidP="001D6704">
      <w:pPr>
        <w:rPr>
          <w:rFonts w:ascii="Arial" w:hAnsi="Arial"/>
          <w:i/>
          <w:iCs/>
          <w:sz w:val="20"/>
          <w:szCs w:val="20"/>
          <w:lang w:val="en-GB"/>
        </w:rPr>
      </w:pPr>
    </w:p>
    <w:p w14:paraId="70A8627C" w14:textId="77777777" w:rsidR="004B09BB" w:rsidRPr="00AB6AA7" w:rsidRDefault="004B09BB" w:rsidP="001D6704">
      <w:pPr>
        <w:rPr>
          <w:rFonts w:ascii="Arial" w:hAnsi="Arial"/>
          <w:sz w:val="20"/>
          <w:szCs w:val="20"/>
          <w:lang w:val="en-GB"/>
        </w:rPr>
      </w:pPr>
      <w:r w:rsidRPr="00AB6AA7">
        <w:rPr>
          <w:rFonts w:ascii="Arial" w:hAnsi="Arial"/>
          <w:b/>
          <w:bCs/>
          <w:sz w:val="20"/>
          <w:szCs w:val="20"/>
          <w:lang w:val="en-GB"/>
        </w:rPr>
        <w:t>“Fish”</w:t>
      </w:r>
      <w:r w:rsidRPr="00AB6AA7">
        <w:rPr>
          <w:rFonts w:ascii="Arial" w:hAnsi="Arial"/>
          <w:sz w:val="20"/>
          <w:szCs w:val="20"/>
          <w:lang w:val="en-GB"/>
        </w:rPr>
        <w:t xml:space="preserve"> are defined broadly by the </w:t>
      </w:r>
      <w:r w:rsidRPr="00AB6AA7">
        <w:rPr>
          <w:rFonts w:ascii="Arial" w:hAnsi="Arial"/>
          <w:i/>
          <w:iCs/>
          <w:sz w:val="20"/>
          <w:szCs w:val="20"/>
          <w:lang w:val="en-GB"/>
        </w:rPr>
        <w:t>Act</w:t>
      </w:r>
      <w:r w:rsidRPr="00AB6AA7">
        <w:rPr>
          <w:rFonts w:ascii="Arial" w:hAnsi="Arial"/>
          <w:sz w:val="20"/>
          <w:szCs w:val="20"/>
          <w:lang w:val="en-GB"/>
        </w:rPr>
        <w:t xml:space="preserve"> to include: parts of fish; shellfish, crustaceans, marine animals and any parts of shellfish, crustaceans or marine animals, as well as their eggs, sperm, spawn, larvae, spat and juvenile stages.</w:t>
      </w:r>
    </w:p>
    <w:p w14:paraId="06D71D45" w14:textId="77777777" w:rsidR="004B09BB" w:rsidRPr="00AB6AA7" w:rsidRDefault="004B09BB" w:rsidP="001D6704">
      <w:pPr>
        <w:rPr>
          <w:rFonts w:ascii="Arial" w:hAnsi="Arial"/>
          <w:sz w:val="20"/>
          <w:szCs w:val="20"/>
          <w:lang w:val="en-GB"/>
        </w:rPr>
      </w:pPr>
    </w:p>
    <w:p w14:paraId="058A9B0A" w14:textId="77777777" w:rsidR="004B09BB" w:rsidRPr="00AB6AA7" w:rsidRDefault="004B09BB" w:rsidP="001D6704">
      <w:pPr>
        <w:rPr>
          <w:rFonts w:ascii="Arial" w:hAnsi="Arial"/>
          <w:sz w:val="20"/>
          <w:szCs w:val="20"/>
          <w:lang w:val="en-GB"/>
        </w:rPr>
      </w:pPr>
      <w:r w:rsidRPr="00AB6AA7">
        <w:rPr>
          <w:rFonts w:ascii="Arial" w:hAnsi="Arial"/>
          <w:b/>
          <w:bCs/>
          <w:sz w:val="20"/>
          <w:szCs w:val="20"/>
          <w:lang w:val="en-GB"/>
        </w:rPr>
        <w:t>“Fish habitat”</w:t>
      </w:r>
      <w:r w:rsidRPr="00AB6AA7">
        <w:rPr>
          <w:rFonts w:ascii="Arial" w:hAnsi="Arial"/>
          <w:sz w:val="20"/>
          <w:szCs w:val="20"/>
          <w:lang w:val="en-GB"/>
        </w:rPr>
        <w:t xml:space="preserve"> is defined as “spawning grounds and any other areas, including nursery, rearing, food supply and migration areas, on which fish depend directly or indirectly in order to carry out their life processes.”</w:t>
      </w:r>
    </w:p>
    <w:p w14:paraId="316A803D" w14:textId="77777777" w:rsidR="004B09BB" w:rsidRPr="00AB6AA7" w:rsidRDefault="004B09BB" w:rsidP="001D6704">
      <w:pPr>
        <w:rPr>
          <w:rFonts w:ascii="Arial" w:hAnsi="Arial"/>
          <w:sz w:val="20"/>
          <w:szCs w:val="20"/>
          <w:lang w:val="en-GB"/>
        </w:rPr>
      </w:pPr>
    </w:p>
    <w:p w14:paraId="5DC66113"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Although the Act does not define </w:t>
      </w:r>
      <w:r w:rsidRPr="00AB6AA7">
        <w:rPr>
          <w:rFonts w:ascii="Arial" w:hAnsi="Arial"/>
          <w:b/>
          <w:bCs/>
          <w:sz w:val="20"/>
          <w:szCs w:val="20"/>
          <w:lang w:val="en-GB"/>
        </w:rPr>
        <w:t>“permanent alteration to, or destruction of, fish habitat,”</w:t>
      </w:r>
      <w:r w:rsidRPr="00AB6AA7">
        <w:rPr>
          <w:rFonts w:ascii="Arial" w:hAnsi="Arial"/>
          <w:sz w:val="20"/>
          <w:szCs w:val="20"/>
          <w:lang w:val="en-GB"/>
        </w:rPr>
        <w:t xml:space="preserve"> Fisheries and Oceans Canada sets out its understanding of these as “an alteration” or “an elimination” of fish habitat of a spatial scale, duration and intensity that limits, diminishes, or no longer allow fish to use such habitats in order to carry out one or more of their life processes, such spawning, nursing, rearing, feeding, migrating. </w:t>
      </w:r>
    </w:p>
    <w:p w14:paraId="1E870998" w14:textId="77777777" w:rsidR="004B09BB" w:rsidRPr="00AB6AA7" w:rsidRDefault="004B09BB" w:rsidP="001D6704">
      <w:pPr>
        <w:rPr>
          <w:rFonts w:ascii="Arial" w:hAnsi="Arial"/>
          <w:sz w:val="20"/>
          <w:szCs w:val="20"/>
          <w:u w:val="single"/>
          <w:lang w:val="en-GB"/>
        </w:rPr>
      </w:pPr>
    </w:p>
    <w:p w14:paraId="3D87D114" w14:textId="77777777" w:rsidR="0044737B" w:rsidRPr="00AB6AA7" w:rsidRDefault="0044737B" w:rsidP="001D6704">
      <w:pPr>
        <w:rPr>
          <w:rFonts w:ascii="Arial" w:hAnsi="Arial"/>
          <w:sz w:val="20"/>
          <w:szCs w:val="20"/>
          <w:u w:val="single"/>
          <w:lang w:val="en-GB"/>
        </w:rPr>
      </w:pPr>
    </w:p>
    <w:p w14:paraId="1E6CC356" w14:textId="77777777" w:rsidR="004B09BB" w:rsidRPr="00AB6AA7" w:rsidRDefault="004B09BB" w:rsidP="001D6704">
      <w:pPr>
        <w:rPr>
          <w:rFonts w:ascii="Arial" w:hAnsi="Arial"/>
          <w:b/>
          <w:bCs/>
          <w:sz w:val="20"/>
          <w:szCs w:val="20"/>
          <w:u w:val="single"/>
          <w:lang w:val="en-GB"/>
        </w:rPr>
      </w:pPr>
      <w:r w:rsidRPr="00AB6AA7">
        <w:rPr>
          <w:rFonts w:ascii="Arial" w:hAnsi="Arial"/>
          <w:b/>
          <w:bCs/>
          <w:sz w:val="20"/>
          <w:szCs w:val="20"/>
          <w:lang w:val="en-GB"/>
        </w:rPr>
        <w:t>2.1 Were there affected fish that are part of “a commercial, recreational or Aboriginal fishery”?</w:t>
      </w:r>
    </w:p>
    <w:p w14:paraId="4D8E7044" w14:textId="77777777" w:rsidR="004B09BB" w:rsidRPr="00AB6AA7" w:rsidRDefault="004B09BB" w:rsidP="001D6704">
      <w:pPr>
        <w:rPr>
          <w:rFonts w:ascii="Arial" w:hAnsi="Arial"/>
          <w:sz w:val="20"/>
          <w:szCs w:val="20"/>
          <w:u w:val="single"/>
          <w:lang w:val="en-GB"/>
        </w:rPr>
      </w:pPr>
    </w:p>
    <w:p w14:paraId="6C75B91E" w14:textId="7BC62526"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In 2015, SNC-Lavalin published a </w:t>
      </w:r>
      <w:r w:rsidRPr="00AB6AA7">
        <w:rPr>
          <w:rFonts w:ascii="Arial" w:hAnsi="Arial"/>
          <w:i/>
          <w:iCs/>
          <w:sz w:val="20"/>
          <w:szCs w:val="20"/>
          <w:lang w:val="en-GB"/>
        </w:rPr>
        <w:t xml:space="preserve">Fish and Fish Habitat Impact Assessment </w:t>
      </w:r>
      <w:r w:rsidRPr="00AB6AA7">
        <w:rPr>
          <w:rFonts w:ascii="Arial" w:hAnsi="Arial"/>
          <w:sz w:val="20"/>
          <w:szCs w:val="20"/>
          <w:lang w:val="en-GB"/>
        </w:rPr>
        <w:t>(FFHIA) for areas affected by the Mt. Polley spill.</w:t>
      </w:r>
      <w:r w:rsidR="009059F4">
        <w:rPr>
          <w:rFonts w:ascii="Arial" w:hAnsi="Arial"/>
          <w:sz w:val="20"/>
          <w:szCs w:val="20"/>
          <w:lang w:val="en-GB"/>
        </w:rPr>
        <w:t xml:space="preserve"> </w:t>
      </w:r>
      <w:r w:rsidRPr="00AB6AA7">
        <w:rPr>
          <w:rFonts w:ascii="Arial" w:hAnsi="Arial"/>
          <w:sz w:val="20"/>
          <w:szCs w:val="20"/>
          <w:lang w:val="en-GB"/>
        </w:rPr>
        <w:t>The FFHIA states that it focused on fish species that are part of commercial, recreational or aboriginal fisheries. The FFHIA indicates that the affected fish-bearing watercourses included together at least 20 different fish species, including: Sockeye, Coho, and Chinook Salmon, Kokanee, Rainbow Trout, Bull Trout, Lake Trout, Pygmy Whitefish, Mountain Whitefish, Lake Whitefish, and Burbot.</w:t>
      </w:r>
      <w:r w:rsidR="00A13A86" w:rsidRPr="00AB6AA7">
        <w:rPr>
          <w:rFonts w:ascii="Arial" w:hAnsi="Arial"/>
          <w:sz w:val="20"/>
          <w:szCs w:val="20"/>
          <w:lang w:val="en-GB"/>
        </w:rPr>
        <w:t xml:space="preserve"> </w:t>
      </w:r>
      <w:r w:rsidR="009F2C32" w:rsidRPr="00AB6AA7">
        <w:rPr>
          <w:rFonts w:ascii="Arial" w:hAnsi="Arial"/>
          <w:sz w:val="20"/>
          <w:szCs w:val="20"/>
          <w:lang w:val="en-GB"/>
        </w:rPr>
        <w:t>E</w:t>
      </w:r>
      <w:r w:rsidR="00A13A86" w:rsidRPr="00AB6AA7">
        <w:rPr>
          <w:rFonts w:ascii="Arial" w:hAnsi="Arial"/>
          <w:sz w:val="20"/>
          <w:szCs w:val="20"/>
          <w:lang w:val="en-GB"/>
        </w:rPr>
        <w:t xml:space="preserve">vidence </w:t>
      </w:r>
      <w:r w:rsidR="009F2C32" w:rsidRPr="00AB6AA7">
        <w:rPr>
          <w:rFonts w:ascii="Arial" w:hAnsi="Arial"/>
          <w:sz w:val="20"/>
          <w:szCs w:val="20"/>
          <w:lang w:val="en-GB"/>
        </w:rPr>
        <w:t>demonstrates</w:t>
      </w:r>
      <w:r w:rsidR="00A13A86" w:rsidRPr="00AB6AA7">
        <w:rPr>
          <w:rFonts w:ascii="Arial" w:hAnsi="Arial"/>
          <w:sz w:val="20"/>
          <w:szCs w:val="20"/>
          <w:lang w:val="en-GB"/>
        </w:rPr>
        <w:t xml:space="preserve"> the fact that the Quesnel Lake watershed supports, or supported commercial, recreation or aboriginal fisheries.</w:t>
      </w:r>
    </w:p>
    <w:p w14:paraId="7B4B9A9F" w14:textId="77777777" w:rsidR="004B09BB" w:rsidRPr="00AB6AA7" w:rsidRDefault="004B09BB" w:rsidP="001D6704">
      <w:pPr>
        <w:rPr>
          <w:rFonts w:ascii="Arial" w:hAnsi="Arial"/>
          <w:i/>
          <w:iCs/>
          <w:sz w:val="20"/>
          <w:szCs w:val="20"/>
          <w:u w:val="single"/>
          <w:lang w:val="en-GB"/>
        </w:rPr>
      </w:pPr>
    </w:p>
    <w:p w14:paraId="1E77C72A" w14:textId="77777777" w:rsidR="0044737B" w:rsidRPr="00AB6AA7" w:rsidRDefault="0044737B" w:rsidP="001D6704">
      <w:pPr>
        <w:rPr>
          <w:rFonts w:ascii="Arial" w:hAnsi="Arial"/>
          <w:i/>
          <w:iCs/>
          <w:sz w:val="20"/>
          <w:szCs w:val="20"/>
          <w:u w:val="single"/>
          <w:lang w:val="en-GB"/>
        </w:rPr>
      </w:pPr>
    </w:p>
    <w:p w14:paraId="74206468" w14:textId="77777777" w:rsidR="004B09BB" w:rsidRPr="00AB6AA7" w:rsidRDefault="004B09BB" w:rsidP="001D6704">
      <w:pPr>
        <w:rPr>
          <w:rFonts w:ascii="Arial" w:hAnsi="Arial"/>
          <w:b/>
          <w:bCs/>
          <w:sz w:val="20"/>
          <w:szCs w:val="20"/>
          <w:u w:val="single"/>
          <w:lang w:val="en-GB"/>
        </w:rPr>
      </w:pPr>
      <w:r w:rsidRPr="00AB6AA7">
        <w:rPr>
          <w:rFonts w:ascii="Arial" w:hAnsi="Arial"/>
          <w:b/>
          <w:bCs/>
          <w:sz w:val="20"/>
          <w:szCs w:val="20"/>
          <w:lang w:val="en-GB"/>
        </w:rPr>
        <w:t>2.2 Is there Evidence that the Mount Polley Spill Permanently Altered or Destroyed Fish Habitat?</w:t>
      </w:r>
    </w:p>
    <w:p w14:paraId="19B8D4EE" w14:textId="77777777" w:rsidR="004B09BB" w:rsidRPr="00AB6AA7" w:rsidRDefault="004B09BB" w:rsidP="001D6704">
      <w:pPr>
        <w:rPr>
          <w:rFonts w:ascii="Arial" w:hAnsi="Arial"/>
          <w:sz w:val="20"/>
          <w:szCs w:val="20"/>
          <w:u w:val="single"/>
          <w:lang w:val="en-GB"/>
        </w:rPr>
      </w:pPr>
    </w:p>
    <w:p w14:paraId="62CD7EB5" w14:textId="77777777" w:rsidR="004B09BB" w:rsidRPr="00AB6AA7" w:rsidRDefault="004B09BB" w:rsidP="001D6704">
      <w:pPr>
        <w:rPr>
          <w:rFonts w:ascii="Arial" w:hAnsi="Arial"/>
          <w:b/>
          <w:bCs/>
          <w:i/>
          <w:iCs/>
          <w:sz w:val="20"/>
          <w:szCs w:val="20"/>
          <w:lang w:val="en-GB"/>
        </w:rPr>
      </w:pPr>
      <w:r w:rsidRPr="00AB6AA7">
        <w:rPr>
          <w:rFonts w:ascii="Arial" w:hAnsi="Arial"/>
          <w:b/>
          <w:bCs/>
          <w:i/>
          <w:iCs/>
          <w:sz w:val="20"/>
          <w:szCs w:val="20"/>
          <w:lang w:val="en-GB"/>
        </w:rPr>
        <w:t>Hazeltine Creek</w:t>
      </w:r>
    </w:p>
    <w:p w14:paraId="0082D434" w14:textId="77777777" w:rsidR="004B09BB" w:rsidRPr="00AB6AA7" w:rsidRDefault="004B09BB" w:rsidP="001D6704">
      <w:pPr>
        <w:rPr>
          <w:rFonts w:ascii="Arial" w:hAnsi="Arial"/>
          <w:b/>
          <w:bCs/>
          <w:i/>
          <w:iCs/>
          <w:sz w:val="20"/>
          <w:szCs w:val="20"/>
          <w:lang w:val="en-GB"/>
        </w:rPr>
      </w:pPr>
    </w:p>
    <w:p w14:paraId="36137854" w14:textId="7B8C136B"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The debris flow from the Mount Polley spill eroded the channel and floodplain of Hazeltine Creek over 9km in length, carving “a new valley, wider and deeper,” than ever observed before. Near the dam failure, tailings deposits in the Creek exceeded 3.5 m in some places. The SNC-Lavalin FFHIA Report estimates that approximately </w:t>
      </w:r>
      <w:r w:rsidRPr="00AB6AA7">
        <w:rPr>
          <w:rFonts w:ascii="Arial" w:hAnsi="Arial"/>
          <w:b/>
          <w:bCs/>
          <w:sz w:val="20"/>
          <w:szCs w:val="20"/>
          <w:lang w:val="en-GB"/>
        </w:rPr>
        <w:t>62,616 m</w:t>
      </w:r>
      <w:r w:rsidRPr="00AB6AA7">
        <w:rPr>
          <w:rFonts w:ascii="Arial" w:hAnsi="Arial"/>
          <w:b/>
          <w:bCs/>
          <w:sz w:val="20"/>
          <w:szCs w:val="20"/>
          <w:vertAlign w:val="superscript"/>
          <w:lang w:val="en-GB"/>
        </w:rPr>
        <w:t>2</w:t>
      </w:r>
      <w:r w:rsidRPr="00AB6AA7">
        <w:rPr>
          <w:rFonts w:ascii="Arial" w:hAnsi="Arial"/>
          <w:sz w:val="20"/>
          <w:szCs w:val="20"/>
          <w:lang w:val="en-GB"/>
        </w:rPr>
        <w:t xml:space="preserve"> of aquatic habitat was permanently altered in Hazeltine Creek, as well as </w:t>
      </w:r>
      <w:r w:rsidRPr="00AB6AA7">
        <w:rPr>
          <w:rFonts w:ascii="Arial" w:hAnsi="Arial"/>
          <w:b/>
          <w:bCs/>
          <w:sz w:val="20"/>
          <w:szCs w:val="20"/>
          <w:lang w:val="en-GB"/>
        </w:rPr>
        <w:t>717,249 m</w:t>
      </w:r>
      <w:r w:rsidRPr="00AB6AA7">
        <w:rPr>
          <w:rFonts w:ascii="Arial" w:hAnsi="Arial"/>
          <w:b/>
          <w:bCs/>
          <w:sz w:val="20"/>
          <w:szCs w:val="20"/>
          <w:vertAlign w:val="superscript"/>
          <w:lang w:val="en-GB"/>
        </w:rPr>
        <w:t>2</w:t>
      </w:r>
      <w:r w:rsidRPr="00AB6AA7">
        <w:rPr>
          <w:rFonts w:ascii="Arial" w:hAnsi="Arial"/>
          <w:sz w:val="20"/>
          <w:szCs w:val="20"/>
          <w:lang w:val="en-GB"/>
        </w:rPr>
        <w:t xml:space="preserve"> of riparian habitat along its banks. Sections of Hazeltine Creek are historical identified spawning areas for Rainbow Trout from Polley Lake, and are also considered important rearing habitat for juvenile Rainbow Trout. Fish species in the lower Hazeltine Creek also included: Sockeye, Coho and Chinook Salmon, Kokanee, Mountain Whitefish, and Burbot. Golder Associates EIA Report concluded that the alterations to Hazeltine Creek were so severe that it did not bother studying biological effects on fish as Hazeltine Creek “was no longer a viable habitat following the dam failure</w:t>
      </w:r>
      <w:r w:rsidR="009059F4">
        <w:rPr>
          <w:rFonts w:ascii="Arial" w:hAnsi="Arial"/>
          <w:sz w:val="20"/>
          <w:szCs w:val="20"/>
          <w:lang w:val="en-GB"/>
        </w:rPr>
        <w:t>.</w:t>
      </w:r>
      <w:r w:rsidRPr="00AB6AA7">
        <w:rPr>
          <w:rFonts w:ascii="Arial" w:hAnsi="Arial"/>
          <w:sz w:val="20"/>
          <w:szCs w:val="20"/>
          <w:lang w:val="en-GB"/>
        </w:rPr>
        <w:t>”</w:t>
      </w:r>
    </w:p>
    <w:p w14:paraId="23FBF327" w14:textId="77777777" w:rsidR="004B09BB" w:rsidRPr="00AB6AA7" w:rsidRDefault="004B09BB" w:rsidP="001D6704">
      <w:pPr>
        <w:rPr>
          <w:rFonts w:ascii="Arial" w:hAnsi="Arial"/>
          <w:i/>
          <w:iCs/>
          <w:sz w:val="20"/>
          <w:szCs w:val="20"/>
          <w:u w:val="single"/>
          <w:lang w:val="en-GB"/>
        </w:rPr>
      </w:pPr>
    </w:p>
    <w:p w14:paraId="13ABECCC" w14:textId="77777777" w:rsidR="004B09BB" w:rsidRPr="00AB6AA7" w:rsidRDefault="004B09BB" w:rsidP="001D6704">
      <w:pPr>
        <w:rPr>
          <w:rFonts w:ascii="Arial" w:hAnsi="Arial"/>
          <w:b/>
          <w:bCs/>
          <w:i/>
          <w:iCs/>
          <w:sz w:val="20"/>
          <w:szCs w:val="20"/>
          <w:lang w:val="en-GB"/>
        </w:rPr>
      </w:pPr>
      <w:r w:rsidRPr="00AB6AA7">
        <w:rPr>
          <w:rFonts w:ascii="Arial" w:hAnsi="Arial"/>
          <w:b/>
          <w:bCs/>
          <w:i/>
          <w:iCs/>
          <w:sz w:val="20"/>
          <w:szCs w:val="20"/>
          <w:lang w:val="en-GB"/>
        </w:rPr>
        <w:t>Edney Creek</w:t>
      </w:r>
    </w:p>
    <w:p w14:paraId="45A8087A" w14:textId="77777777" w:rsidR="004B09BB" w:rsidRPr="00AB6AA7" w:rsidRDefault="004B09BB" w:rsidP="001D6704">
      <w:pPr>
        <w:rPr>
          <w:rFonts w:ascii="Arial" w:hAnsi="Arial"/>
          <w:b/>
          <w:bCs/>
          <w:i/>
          <w:iCs/>
          <w:sz w:val="20"/>
          <w:szCs w:val="20"/>
          <w:lang w:val="en-GB"/>
        </w:rPr>
      </w:pPr>
    </w:p>
    <w:p w14:paraId="5A5A1D44" w14:textId="47D1F05F" w:rsidR="004B09BB" w:rsidRPr="00AB6AA7" w:rsidRDefault="004B09BB" w:rsidP="001D6704">
      <w:pPr>
        <w:rPr>
          <w:rFonts w:ascii="Arial" w:hAnsi="Arial"/>
          <w:i/>
          <w:iCs/>
          <w:sz w:val="20"/>
          <w:szCs w:val="20"/>
          <w:u w:val="single"/>
          <w:lang w:val="en-GB"/>
        </w:rPr>
      </w:pPr>
      <w:r w:rsidRPr="00AB6AA7">
        <w:rPr>
          <w:rFonts w:ascii="Arial" w:hAnsi="Arial"/>
          <w:sz w:val="20"/>
          <w:szCs w:val="20"/>
          <w:lang w:val="en-GB"/>
        </w:rPr>
        <w:t>The downstream-most 850m of Edney Creek were affected by deposition from the debris flow.</w:t>
      </w:r>
      <w:r w:rsidR="009059F4">
        <w:rPr>
          <w:rFonts w:ascii="Arial" w:hAnsi="Arial"/>
          <w:sz w:val="20"/>
          <w:szCs w:val="20"/>
          <w:lang w:val="en-GB"/>
        </w:rPr>
        <w:t xml:space="preserve"> </w:t>
      </w:r>
      <w:r w:rsidRPr="00AB6AA7">
        <w:rPr>
          <w:rFonts w:ascii="Arial" w:hAnsi="Arial"/>
          <w:sz w:val="20"/>
          <w:szCs w:val="20"/>
          <w:lang w:val="en-GB"/>
        </w:rPr>
        <w:t>At the confluence of Edney and Hazeltine Creeks, the Edney Creek bed was scoured, resulting in a drop of about 2 m in elevation, creating a barrier to the free movement of fish from Quesnel Lake to Edney Creek.</w:t>
      </w:r>
      <w:r w:rsidRPr="00AB6AA7">
        <w:rPr>
          <w:rFonts w:ascii="Arial" w:hAnsi="Arial"/>
          <w:sz w:val="20"/>
          <w:szCs w:val="20"/>
          <w:u w:val="single"/>
          <w:lang w:val="en-GB"/>
        </w:rPr>
        <w:t xml:space="preserve"> </w:t>
      </w:r>
      <w:r w:rsidRPr="00AB6AA7">
        <w:rPr>
          <w:rFonts w:ascii="Arial" w:hAnsi="Arial"/>
          <w:sz w:val="20"/>
          <w:szCs w:val="20"/>
          <w:lang w:val="en-GB"/>
        </w:rPr>
        <w:t xml:space="preserve">The SNC-Lavalin FFHIA Report estimates that approximately </w:t>
      </w:r>
      <w:r w:rsidRPr="00AB6AA7">
        <w:rPr>
          <w:rFonts w:ascii="Arial" w:hAnsi="Arial"/>
          <w:b/>
          <w:bCs/>
          <w:sz w:val="20"/>
          <w:szCs w:val="20"/>
          <w:lang w:val="en-GB"/>
        </w:rPr>
        <w:t>2,390 m</w:t>
      </w:r>
      <w:r w:rsidRPr="00AB6AA7">
        <w:rPr>
          <w:rFonts w:ascii="Arial" w:hAnsi="Arial"/>
          <w:b/>
          <w:bCs/>
          <w:sz w:val="20"/>
          <w:szCs w:val="20"/>
          <w:vertAlign w:val="superscript"/>
          <w:lang w:val="en-GB"/>
        </w:rPr>
        <w:t>2</w:t>
      </w:r>
      <w:r w:rsidRPr="00AB6AA7">
        <w:rPr>
          <w:rFonts w:ascii="Arial" w:hAnsi="Arial"/>
          <w:sz w:val="20"/>
          <w:szCs w:val="20"/>
          <w:lang w:val="en-GB"/>
        </w:rPr>
        <w:t xml:space="preserve"> of aquatic habitat was altered in Edney Creek, as well as </w:t>
      </w:r>
      <w:r w:rsidRPr="00AB6AA7">
        <w:rPr>
          <w:rFonts w:ascii="Arial" w:hAnsi="Arial"/>
          <w:b/>
          <w:bCs/>
          <w:sz w:val="20"/>
          <w:szCs w:val="20"/>
          <w:lang w:val="en-GB"/>
        </w:rPr>
        <w:t>20,215 m</w:t>
      </w:r>
      <w:r w:rsidRPr="00AB6AA7">
        <w:rPr>
          <w:rFonts w:ascii="Arial" w:hAnsi="Arial"/>
          <w:b/>
          <w:bCs/>
          <w:sz w:val="20"/>
          <w:szCs w:val="20"/>
          <w:vertAlign w:val="superscript"/>
          <w:lang w:val="en-GB"/>
        </w:rPr>
        <w:t>2</w:t>
      </w:r>
      <w:r w:rsidRPr="00AB6AA7">
        <w:rPr>
          <w:rFonts w:ascii="Arial" w:hAnsi="Arial"/>
          <w:sz w:val="20"/>
          <w:szCs w:val="20"/>
          <w:lang w:val="en-GB"/>
        </w:rPr>
        <w:t xml:space="preserve"> of riparian habitat. Although representing a relatively small proportion of the aquatic habitat in the Edney Creek watershed, the primary concern noted in the report was the obstruction to upstream migration, which could impact Rainbow Trout’s reproduction in this area. Fish species documented in Edney Creek include: Sockeye, Coho and Chinook Salmon, Rainbow Trout, Mountain Whitefish, and Burbot.</w:t>
      </w:r>
    </w:p>
    <w:p w14:paraId="4E219796" w14:textId="77777777" w:rsidR="004B09BB" w:rsidRPr="00AB6AA7" w:rsidRDefault="004B09BB" w:rsidP="001D6704">
      <w:pPr>
        <w:rPr>
          <w:rFonts w:ascii="Arial" w:hAnsi="Arial"/>
          <w:i/>
          <w:iCs/>
          <w:sz w:val="20"/>
          <w:szCs w:val="20"/>
          <w:u w:val="single"/>
          <w:lang w:val="en-GB"/>
        </w:rPr>
      </w:pPr>
    </w:p>
    <w:p w14:paraId="79C1462E" w14:textId="77777777" w:rsidR="004B09BB" w:rsidRPr="00AB6AA7" w:rsidRDefault="004B09BB" w:rsidP="001D6704">
      <w:pPr>
        <w:rPr>
          <w:rFonts w:ascii="Arial" w:hAnsi="Arial"/>
          <w:i/>
          <w:iCs/>
          <w:sz w:val="20"/>
          <w:szCs w:val="20"/>
          <w:lang w:val="en-GB"/>
        </w:rPr>
      </w:pPr>
      <w:r w:rsidRPr="00AB6AA7">
        <w:rPr>
          <w:rFonts w:ascii="Arial" w:hAnsi="Arial"/>
          <w:b/>
          <w:bCs/>
          <w:i/>
          <w:iCs/>
          <w:sz w:val="20"/>
          <w:szCs w:val="20"/>
          <w:lang w:val="en-GB"/>
        </w:rPr>
        <w:t>Polley Lake</w:t>
      </w:r>
    </w:p>
    <w:p w14:paraId="06AE5A1C" w14:textId="77777777" w:rsidR="004B09BB" w:rsidRPr="00AB6AA7" w:rsidRDefault="004B09BB" w:rsidP="001D6704">
      <w:pPr>
        <w:rPr>
          <w:rFonts w:ascii="Arial" w:hAnsi="Arial"/>
          <w:i/>
          <w:iCs/>
          <w:sz w:val="20"/>
          <w:szCs w:val="20"/>
          <w:lang w:val="en-GB"/>
        </w:rPr>
      </w:pPr>
    </w:p>
    <w:p w14:paraId="69C3A056" w14:textId="6E319A39" w:rsidR="004B09BB" w:rsidRPr="00AB6AA7" w:rsidRDefault="004B09BB" w:rsidP="001D6704">
      <w:pPr>
        <w:rPr>
          <w:rFonts w:ascii="Arial" w:hAnsi="Arial"/>
          <w:sz w:val="20"/>
          <w:szCs w:val="20"/>
          <w:lang w:val="en-GB"/>
        </w:rPr>
      </w:pPr>
      <w:r w:rsidRPr="00AB6AA7">
        <w:rPr>
          <w:rFonts w:ascii="Arial" w:hAnsi="Arial"/>
          <w:sz w:val="20"/>
          <w:szCs w:val="20"/>
          <w:lang w:val="en-GB"/>
        </w:rPr>
        <w:t>The debris flow from the Mount Polley spill traveled upstream along Hazeltine Creek and entered Polley Lake at its outlet.</w:t>
      </w:r>
      <w:r w:rsidR="009059F4">
        <w:rPr>
          <w:rFonts w:ascii="Arial" w:hAnsi="Arial"/>
          <w:sz w:val="20"/>
          <w:szCs w:val="20"/>
          <w:lang w:val="en-GB"/>
        </w:rPr>
        <w:t xml:space="preserve"> </w:t>
      </w:r>
      <w:r w:rsidRPr="00AB6AA7">
        <w:rPr>
          <w:rFonts w:ascii="Arial" w:hAnsi="Arial"/>
          <w:sz w:val="20"/>
          <w:szCs w:val="20"/>
          <w:lang w:val="en-GB"/>
        </w:rPr>
        <w:t>The deposited tailings created a blockage at the outlet to Hazeltine Creek known as the “Polley Plug”. The SNC Lavalin FFHIA’s Report offers no estimates of how much linear shoreline or surface area of the lake bed was physically altered by the spill. However, the Polley Plug did block access to upper Hazeltine Creek, depriving the Polley Lake Rainbow Trout population of access to creek spawning habitat for at least one season.</w:t>
      </w:r>
      <w:r w:rsidR="009059F4">
        <w:rPr>
          <w:rFonts w:ascii="Arial" w:hAnsi="Arial"/>
          <w:sz w:val="20"/>
          <w:szCs w:val="20"/>
          <w:lang w:val="en-GB"/>
        </w:rPr>
        <w:t xml:space="preserve"> </w:t>
      </w:r>
      <w:r w:rsidRPr="00AB6AA7">
        <w:rPr>
          <w:rFonts w:ascii="Arial" w:hAnsi="Arial"/>
          <w:sz w:val="20"/>
          <w:szCs w:val="20"/>
          <w:lang w:val="en-GB"/>
        </w:rPr>
        <w:t>According to the SNC-Lavalin FFHIA Report, anadromous salmon were also unable to reach Polley Lake due to the new barrier created in Hazeltine Creek downstream.</w:t>
      </w:r>
    </w:p>
    <w:p w14:paraId="10EAFDFA" w14:textId="77777777" w:rsidR="004B09BB" w:rsidRPr="00AB6AA7" w:rsidRDefault="004B09BB" w:rsidP="001D6704">
      <w:pPr>
        <w:rPr>
          <w:rFonts w:ascii="Arial" w:hAnsi="Arial"/>
          <w:i/>
          <w:iCs/>
          <w:sz w:val="20"/>
          <w:szCs w:val="20"/>
          <w:u w:val="single"/>
          <w:lang w:val="en-GB"/>
        </w:rPr>
      </w:pPr>
    </w:p>
    <w:p w14:paraId="221E2787" w14:textId="77777777" w:rsidR="004B09BB" w:rsidRPr="00AB6AA7" w:rsidRDefault="004B09BB" w:rsidP="001D6704">
      <w:pPr>
        <w:rPr>
          <w:rFonts w:ascii="Arial" w:hAnsi="Arial"/>
          <w:i/>
          <w:iCs/>
          <w:sz w:val="20"/>
          <w:szCs w:val="20"/>
          <w:lang w:val="en-GB"/>
        </w:rPr>
      </w:pPr>
      <w:r w:rsidRPr="00AB6AA7">
        <w:rPr>
          <w:rFonts w:ascii="Arial" w:hAnsi="Arial"/>
          <w:b/>
          <w:bCs/>
          <w:i/>
          <w:iCs/>
          <w:sz w:val="20"/>
          <w:szCs w:val="20"/>
          <w:lang w:val="en-GB"/>
        </w:rPr>
        <w:t>Quesnel Lake</w:t>
      </w:r>
    </w:p>
    <w:p w14:paraId="79DF395C" w14:textId="77777777" w:rsidR="004B09BB" w:rsidRPr="00AB6AA7" w:rsidRDefault="004B09BB" w:rsidP="001D6704">
      <w:pPr>
        <w:rPr>
          <w:rFonts w:ascii="Arial" w:hAnsi="Arial"/>
          <w:i/>
          <w:iCs/>
          <w:sz w:val="20"/>
          <w:szCs w:val="20"/>
          <w:lang w:val="en-GB"/>
        </w:rPr>
      </w:pPr>
    </w:p>
    <w:p w14:paraId="03A87E07" w14:textId="2F2BED89"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The Mount Polley spill swept an estimated </w:t>
      </w:r>
      <w:r w:rsidRPr="00AB6AA7">
        <w:rPr>
          <w:rFonts w:ascii="Arial" w:hAnsi="Arial"/>
          <w:b/>
          <w:bCs/>
          <w:sz w:val="20"/>
          <w:szCs w:val="20"/>
          <w:lang w:val="en-GB"/>
        </w:rPr>
        <w:t>18.6</w:t>
      </w:r>
      <w:r w:rsidRPr="00AB6AA7">
        <w:rPr>
          <w:rFonts w:ascii="Arial" w:hAnsi="Arial"/>
          <w:sz w:val="20"/>
          <w:szCs w:val="20"/>
          <w:lang w:val="en-GB"/>
        </w:rPr>
        <w:t xml:space="preserve"> </w:t>
      </w:r>
      <w:r w:rsidRPr="00AB6AA7">
        <w:rPr>
          <w:rFonts w:ascii="Arial" w:hAnsi="Arial"/>
          <w:b/>
          <w:bCs/>
          <w:sz w:val="20"/>
          <w:szCs w:val="20"/>
          <w:lang w:val="en-GB"/>
        </w:rPr>
        <w:t>million m</w:t>
      </w:r>
      <w:r w:rsidRPr="00AB6AA7">
        <w:rPr>
          <w:rFonts w:ascii="Arial" w:hAnsi="Arial"/>
          <w:b/>
          <w:bCs/>
          <w:sz w:val="20"/>
          <w:szCs w:val="20"/>
          <w:vertAlign w:val="superscript"/>
          <w:lang w:val="en-GB"/>
        </w:rPr>
        <w:t>3</w:t>
      </w:r>
      <w:r w:rsidRPr="00AB6AA7">
        <w:rPr>
          <w:rFonts w:ascii="Arial" w:hAnsi="Arial"/>
          <w:sz w:val="20"/>
          <w:szCs w:val="20"/>
          <w:lang w:val="en-GB"/>
        </w:rPr>
        <w:t xml:space="preserve"> of material into Quesnel Lake, primarily composed of solid and liquid mine waste tailings from the TSF, but also an estimated 1.2 million m</w:t>
      </w:r>
      <w:r w:rsidRPr="00AB6AA7">
        <w:rPr>
          <w:rFonts w:ascii="Arial" w:hAnsi="Arial"/>
          <w:sz w:val="20"/>
          <w:szCs w:val="20"/>
          <w:vertAlign w:val="superscript"/>
          <w:lang w:val="en-GB"/>
        </w:rPr>
        <w:t>3</w:t>
      </w:r>
      <w:r w:rsidRPr="00AB6AA7">
        <w:rPr>
          <w:rFonts w:ascii="Arial" w:hAnsi="Arial"/>
          <w:sz w:val="20"/>
          <w:szCs w:val="20"/>
          <w:lang w:val="en-GB"/>
        </w:rPr>
        <w:t xml:space="preserve"> of native soils from Hazeltine Creek and other debris.</w:t>
      </w:r>
      <w:r w:rsidR="009059F4">
        <w:rPr>
          <w:rFonts w:ascii="Arial" w:hAnsi="Arial"/>
          <w:sz w:val="20"/>
          <w:szCs w:val="20"/>
          <w:lang w:val="en-GB"/>
        </w:rPr>
        <w:t xml:space="preserve"> </w:t>
      </w:r>
      <w:r w:rsidRPr="00AB6AA7">
        <w:rPr>
          <w:rFonts w:ascii="Arial" w:hAnsi="Arial"/>
          <w:sz w:val="20"/>
          <w:szCs w:val="20"/>
          <w:lang w:val="en-GB"/>
        </w:rPr>
        <w:t>Some of these materials settled over the lake bottom in deposits that may be up to 10 m thick in some places. The littoral zone of Quesnel Lake around the mouth of Hazeltine Creek was also scoured and/or buried as a result of the spill.</w:t>
      </w:r>
      <w:r w:rsidRPr="00AB6AA7">
        <w:rPr>
          <w:rFonts w:ascii="Arial" w:hAnsi="Arial"/>
          <w:i/>
          <w:iCs/>
          <w:sz w:val="20"/>
          <w:szCs w:val="20"/>
          <w:u w:val="single"/>
          <w:lang w:val="en-GB"/>
        </w:rPr>
        <w:t xml:space="preserve"> </w:t>
      </w:r>
      <w:r w:rsidRPr="00AB6AA7">
        <w:rPr>
          <w:rFonts w:ascii="Arial" w:hAnsi="Arial"/>
          <w:sz w:val="20"/>
          <w:szCs w:val="20"/>
          <w:lang w:val="en-GB"/>
        </w:rPr>
        <w:t xml:space="preserve">SNC-Lavalin’s FFHIA Report estimates that approximately </w:t>
      </w:r>
      <w:r w:rsidRPr="00AB6AA7">
        <w:rPr>
          <w:rFonts w:ascii="Arial" w:hAnsi="Arial"/>
          <w:b/>
          <w:bCs/>
          <w:sz w:val="20"/>
          <w:szCs w:val="20"/>
          <w:lang w:val="en-GB"/>
        </w:rPr>
        <w:t>94,394 m</w:t>
      </w:r>
      <w:r w:rsidRPr="00AB6AA7">
        <w:rPr>
          <w:rFonts w:ascii="Arial" w:hAnsi="Arial"/>
          <w:b/>
          <w:bCs/>
          <w:sz w:val="20"/>
          <w:szCs w:val="20"/>
          <w:vertAlign w:val="superscript"/>
          <w:lang w:val="en-GB"/>
        </w:rPr>
        <w:t>2</w:t>
      </w:r>
      <w:r w:rsidRPr="00AB6AA7">
        <w:rPr>
          <w:rFonts w:ascii="Arial" w:hAnsi="Arial"/>
          <w:sz w:val="20"/>
          <w:szCs w:val="20"/>
          <w:lang w:val="en-GB"/>
        </w:rPr>
        <w:t xml:space="preserve"> of the littoral area along the West Arm of Quesnel Lake was permanently altered by the Mount Polley spill. A 2012 aquatic habitat inventory of the West Arm had ranked approximately </w:t>
      </w:r>
      <w:r w:rsidRPr="00AB6AA7">
        <w:rPr>
          <w:rFonts w:ascii="Arial" w:hAnsi="Arial"/>
          <w:b/>
          <w:bCs/>
          <w:sz w:val="20"/>
          <w:szCs w:val="20"/>
          <w:lang w:val="en-GB"/>
        </w:rPr>
        <w:t>51%</w:t>
      </w:r>
      <w:r w:rsidRPr="00AB6AA7">
        <w:rPr>
          <w:rFonts w:ascii="Arial" w:hAnsi="Arial"/>
          <w:sz w:val="20"/>
          <w:szCs w:val="20"/>
          <w:lang w:val="en-GB"/>
        </w:rPr>
        <w:t xml:space="preserve"> of the shoreline as having 'High' or 'Very High' juvenile habitat value, particularly around stream mouths (including the mouth of Hazeltine Creek) and gravel shores.</w:t>
      </w:r>
      <w:r w:rsidR="009059F4">
        <w:rPr>
          <w:rFonts w:ascii="Arial" w:hAnsi="Arial"/>
          <w:sz w:val="20"/>
          <w:szCs w:val="20"/>
          <w:lang w:val="en-GB"/>
        </w:rPr>
        <w:t xml:space="preserve"> </w:t>
      </w:r>
      <w:r w:rsidRPr="00AB6AA7">
        <w:rPr>
          <w:rFonts w:ascii="Arial" w:hAnsi="Arial"/>
          <w:sz w:val="20"/>
          <w:szCs w:val="20"/>
          <w:lang w:val="en-GB"/>
        </w:rPr>
        <w:t xml:space="preserve">The FFHIA Report estimates that approximately </w:t>
      </w:r>
      <w:r w:rsidRPr="00AB6AA7">
        <w:rPr>
          <w:rFonts w:ascii="Arial" w:hAnsi="Arial"/>
          <w:b/>
          <w:bCs/>
          <w:sz w:val="20"/>
          <w:szCs w:val="20"/>
          <w:lang w:val="en-GB"/>
        </w:rPr>
        <w:t>15%</w:t>
      </w:r>
      <w:r w:rsidRPr="00AB6AA7">
        <w:rPr>
          <w:rFonts w:ascii="Arial" w:hAnsi="Arial"/>
          <w:sz w:val="20"/>
          <w:szCs w:val="20"/>
          <w:lang w:val="en-GB"/>
        </w:rPr>
        <w:t xml:space="preserve"> of the 'Very High' rated juvenile habitat in the West Arm was permanently altered by the Mount Polley spill. Approximately </w:t>
      </w:r>
      <w:r w:rsidRPr="00AB6AA7">
        <w:rPr>
          <w:rFonts w:ascii="Arial" w:hAnsi="Arial"/>
          <w:b/>
          <w:sz w:val="20"/>
          <w:szCs w:val="20"/>
          <w:lang w:val="en-GB"/>
        </w:rPr>
        <w:t>1,81 km</w:t>
      </w:r>
      <w:r w:rsidRPr="00AB6AA7">
        <w:rPr>
          <w:rFonts w:ascii="Arial" w:hAnsi="Arial"/>
          <w:b/>
          <w:sz w:val="20"/>
          <w:szCs w:val="20"/>
          <w:vertAlign w:val="superscript"/>
          <w:lang w:val="en-GB"/>
        </w:rPr>
        <w:t>2</w:t>
      </w:r>
      <w:r w:rsidRPr="00AB6AA7">
        <w:rPr>
          <w:rFonts w:ascii="Arial" w:hAnsi="Arial"/>
          <w:sz w:val="20"/>
          <w:szCs w:val="20"/>
          <w:lang w:val="en-GB"/>
        </w:rPr>
        <w:t xml:space="preserve"> (</w:t>
      </w:r>
      <w:r w:rsidRPr="00AB6AA7">
        <w:rPr>
          <w:rFonts w:ascii="Arial" w:hAnsi="Arial"/>
          <w:b/>
          <w:bCs/>
          <w:sz w:val="20"/>
          <w:szCs w:val="20"/>
          <w:lang w:val="en-GB"/>
        </w:rPr>
        <w:t>1 810 000 m</w:t>
      </w:r>
      <w:r w:rsidRPr="00AB6AA7">
        <w:rPr>
          <w:rFonts w:ascii="Arial" w:hAnsi="Arial"/>
          <w:b/>
          <w:bCs/>
          <w:sz w:val="20"/>
          <w:szCs w:val="20"/>
          <w:vertAlign w:val="superscript"/>
          <w:lang w:val="en-GB"/>
        </w:rPr>
        <w:t>2</w:t>
      </w:r>
      <w:r w:rsidRPr="00AB6AA7">
        <w:rPr>
          <w:rFonts w:ascii="Arial" w:hAnsi="Arial"/>
          <w:sz w:val="20"/>
          <w:szCs w:val="20"/>
          <w:lang w:val="en-GB"/>
        </w:rPr>
        <w:t xml:space="preserve">) of lake bed habitat in the benthic zone was permanently altered as a result of the spill as a result of being covered by deposited materials. Resident salmonids use the benthic zone for rearing, forage and potential spawning habitat, as do benthic species such as Burbot. About 20 species of fish inhabit the littoral zone of Quesnel Lake. </w:t>
      </w:r>
    </w:p>
    <w:p w14:paraId="71F792E7" w14:textId="77777777" w:rsidR="004B09BB" w:rsidRPr="00AB6AA7" w:rsidRDefault="004B09BB" w:rsidP="001D6704">
      <w:pPr>
        <w:rPr>
          <w:rFonts w:ascii="Arial" w:hAnsi="Arial"/>
          <w:sz w:val="20"/>
          <w:szCs w:val="20"/>
          <w:lang w:val="en-GB"/>
        </w:rPr>
      </w:pPr>
    </w:p>
    <w:p w14:paraId="41CBA93F" w14:textId="77777777" w:rsidR="004B09BB" w:rsidRPr="00AB6AA7" w:rsidRDefault="004B09BB" w:rsidP="001D6704">
      <w:pPr>
        <w:rPr>
          <w:rFonts w:ascii="Arial" w:hAnsi="Arial"/>
          <w:sz w:val="20"/>
          <w:szCs w:val="20"/>
          <w:lang w:val="en-GB"/>
        </w:rPr>
      </w:pPr>
    </w:p>
    <w:p w14:paraId="3D289D25" w14:textId="77777777" w:rsidR="004B09BB" w:rsidRPr="00AB6AA7" w:rsidRDefault="0044737B" w:rsidP="0044737B">
      <w:pPr>
        <w:pStyle w:val="Titre2"/>
        <w:rPr>
          <w:lang w:val="en-GB"/>
        </w:rPr>
      </w:pPr>
      <w:bookmarkStart w:id="7" w:name="_Toc464474239"/>
      <w:r w:rsidRPr="00AB6AA7">
        <w:rPr>
          <w:lang w:val="en-GB"/>
        </w:rPr>
        <w:t xml:space="preserve">3. Section 36(3) </w:t>
      </w:r>
      <w:r w:rsidR="004B09BB" w:rsidRPr="00AB6AA7">
        <w:rPr>
          <w:lang w:val="en-GB"/>
        </w:rPr>
        <w:t>Fisheries Act: ‘Deleterious Substances’</w:t>
      </w:r>
      <w:bookmarkEnd w:id="7"/>
    </w:p>
    <w:p w14:paraId="5A216450" w14:textId="77777777" w:rsidR="004B09BB" w:rsidRPr="00AB6AA7" w:rsidRDefault="004B09BB" w:rsidP="001D6704">
      <w:pPr>
        <w:rPr>
          <w:rFonts w:ascii="Arial" w:hAnsi="Arial"/>
          <w:sz w:val="20"/>
          <w:szCs w:val="20"/>
          <w:lang w:val="en-GB"/>
        </w:rPr>
      </w:pPr>
    </w:p>
    <w:p w14:paraId="4E124307"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Section 36(3) of the Fisheries Act prohibits deposition of deleterious substances into waters frequented by fish: </w:t>
      </w:r>
    </w:p>
    <w:p w14:paraId="2DA247F3" w14:textId="77777777" w:rsidR="004B09BB" w:rsidRPr="00AB6AA7" w:rsidRDefault="004B09BB" w:rsidP="001D6704">
      <w:pPr>
        <w:rPr>
          <w:rFonts w:ascii="Arial" w:hAnsi="Arial"/>
          <w:sz w:val="20"/>
          <w:szCs w:val="20"/>
          <w:lang w:val="en-GB"/>
        </w:rPr>
      </w:pPr>
    </w:p>
    <w:p w14:paraId="45AEF80A" w14:textId="77777777" w:rsidR="004B09BB" w:rsidRPr="00AB6AA7" w:rsidRDefault="004B09BB" w:rsidP="001D6704">
      <w:pPr>
        <w:jc w:val="center"/>
        <w:rPr>
          <w:rFonts w:ascii="Arial" w:hAnsi="Arial"/>
          <w:i/>
          <w:iCs/>
          <w:sz w:val="20"/>
          <w:szCs w:val="20"/>
          <w:lang w:val="en-GB"/>
        </w:rPr>
      </w:pPr>
      <w:r w:rsidRPr="00AB6AA7">
        <w:rPr>
          <w:rFonts w:ascii="Arial" w:hAnsi="Arial"/>
          <w:i/>
          <w:iCs/>
          <w:sz w:val="20"/>
          <w:szCs w:val="20"/>
          <w:lang w:val="en-GB"/>
        </w:rPr>
        <w:t>“…no person shall deposit or permit the deposit of a deleterious substance of any type in water frequented by fish or in any place under any conditions where the deleterious substance or any other deleterious substance that results from the deposit of the deleterious substance may enter any such water” – section 36(3)</w:t>
      </w:r>
    </w:p>
    <w:p w14:paraId="646E6B67" w14:textId="77777777" w:rsidR="004B09BB" w:rsidRPr="00AB6AA7" w:rsidRDefault="004B09BB" w:rsidP="001D6704">
      <w:pPr>
        <w:rPr>
          <w:rFonts w:ascii="Arial" w:hAnsi="Arial"/>
          <w:sz w:val="20"/>
          <w:szCs w:val="20"/>
          <w:lang w:val="en-GB"/>
        </w:rPr>
      </w:pPr>
    </w:p>
    <w:p w14:paraId="7B1B2B1A" w14:textId="77777777" w:rsidR="004B09BB" w:rsidRPr="00AB6AA7" w:rsidRDefault="004B09BB" w:rsidP="001D6704">
      <w:pPr>
        <w:rPr>
          <w:rFonts w:ascii="Arial" w:hAnsi="Arial"/>
          <w:sz w:val="20"/>
          <w:szCs w:val="20"/>
          <w:lang w:val="en-GB"/>
        </w:rPr>
      </w:pPr>
      <w:r w:rsidRPr="00AB6AA7">
        <w:rPr>
          <w:rFonts w:ascii="Arial" w:hAnsi="Arial"/>
          <w:b/>
          <w:bCs/>
          <w:sz w:val="20"/>
          <w:szCs w:val="20"/>
          <w:lang w:val="en-GB"/>
        </w:rPr>
        <w:t>“Deleterious substance”</w:t>
      </w:r>
      <w:r w:rsidRPr="00AB6AA7">
        <w:rPr>
          <w:rFonts w:ascii="Arial" w:hAnsi="Arial"/>
          <w:sz w:val="20"/>
          <w:szCs w:val="20"/>
          <w:lang w:val="en-GB"/>
        </w:rPr>
        <w:t xml:space="preserve"> is defined by the Act as “any substance” or waste “water that contains a substance” that, if added to any fish-bearing water, “would degrade or alter or form part of a process of degradation or alteration of the quality of that water so that it is rendered or is likely to be rendered deleterious to fish or fish habitat or to the use by man of fish that frequent that water. </w:t>
      </w:r>
    </w:p>
    <w:p w14:paraId="5C5178BC" w14:textId="77777777" w:rsidR="004B09BB" w:rsidRPr="00AB6AA7" w:rsidRDefault="004B09BB" w:rsidP="001D6704">
      <w:pPr>
        <w:rPr>
          <w:rFonts w:ascii="Arial" w:hAnsi="Arial"/>
          <w:sz w:val="20"/>
          <w:szCs w:val="20"/>
          <w:lang w:val="en-GB"/>
        </w:rPr>
      </w:pPr>
    </w:p>
    <w:p w14:paraId="3C919A8A" w14:textId="77777777" w:rsidR="004B09BB" w:rsidRPr="00AB6AA7" w:rsidRDefault="004B09BB" w:rsidP="001D6704">
      <w:pPr>
        <w:rPr>
          <w:rFonts w:ascii="Arial" w:hAnsi="Arial"/>
          <w:sz w:val="20"/>
          <w:szCs w:val="20"/>
          <w:lang w:val="en-GB"/>
        </w:rPr>
      </w:pPr>
    </w:p>
    <w:p w14:paraId="38E27C98" w14:textId="77777777" w:rsidR="004B09BB" w:rsidRPr="00AB6AA7" w:rsidRDefault="004B09BB" w:rsidP="001D6704">
      <w:pPr>
        <w:rPr>
          <w:rFonts w:ascii="Arial" w:hAnsi="Arial"/>
          <w:b/>
          <w:bCs/>
          <w:sz w:val="20"/>
          <w:szCs w:val="20"/>
          <w:lang w:val="en-GB"/>
        </w:rPr>
      </w:pPr>
      <w:r w:rsidRPr="00AB6AA7">
        <w:rPr>
          <w:rFonts w:ascii="Arial" w:hAnsi="Arial"/>
          <w:b/>
          <w:bCs/>
          <w:sz w:val="20"/>
          <w:szCs w:val="20"/>
          <w:lang w:val="en-GB"/>
        </w:rPr>
        <w:t>3.1 Did the Spill Contain a “Deleterious Substance”?</w:t>
      </w:r>
    </w:p>
    <w:p w14:paraId="63D2B29A" w14:textId="77777777" w:rsidR="004B09BB" w:rsidRPr="00AB6AA7" w:rsidRDefault="004B09BB" w:rsidP="001D6704">
      <w:pPr>
        <w:rPr>
          <w:rFonts w:ascii="Arial" w:hAnsi="Arial"/>
          <w:sz w:val="20"/>
          <w:szCs w:val="20"/>
          <w:lang w:val="en-GB"/>
        </w:rPr>
      </w:pPr>
    </w:p>
    <w:p w14:paraId="251AA08E" w14:textId="77777777"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According to the BC Chief Inspector of Mines’ report in 2015, tailings consist of 64% silt, 30% fine sand, and 6% clay. The </w:t>
      </w:r>
      <w:r w:rsidRPr="00AB6AA7">
        <w:rPr>
          <w:rFonts w:ascii="Arial" w:hAnsi="Arial"/>
          <w:b/>
          <w:bCs/>
          <w:sz w:val="20"/>
          <w:szCs w:val="20"/>
          <w:lang w:val="en-GB"/>
        </w:rPr>
        <w:t>deposition of sediments</w:t>
      </w:r>
      <w:r w:rsidRPr="00AB6AA7">
        <w:rPr>
          <w:rFonts w:ascii="Arial" w:hAnsi="Arial"/>
          <w:sz w:val="20"/>
          <w:szCs w:val="20"/>
          <w:lang w:val="en-GB"/>
        </w:rPr>
        <w:t xml:space="preserve"> of this sort, while not inherently deleterious, have been treated as deleterious by the courts when introduced into fish-bearing waters in sufficient quantities. </w:t>
      </w:r>
    </w:p>
    <w:p w14:paraId="098E1C90" w14:textId="77777777" w:rsidR="004B09BB" w:rsidRPr="00AB6AA7" w:rsidRDefault="004B09BB" w:rsidP="001D6704">
      <w:pPr>
        <w:rPr>
          <w:rFonts w:ascii="Arial" w:hAnsi="Arial"/>
          <w:sz w:val="20"/>
          <w:szCs w:val="20"/>
          <w:lang w:val="en-GB"/>
        </w:rPr>
      </w:pPr>
    </w:p>
    <w:p w14:paraId="2BEA83E6" w14:textId="37B17AD7"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In </w:t>
      </w:r>
      <w:r w:rsidRPr="00AB6AA7">
        <w:rPr>
          <w:rFonts w:ascii="Arial" w:hAnsi="Arial"/>
          <w:b/>
          <w:bCs/>
          <w:i/>
          <w:iCs/>
          <w:sz w:val="20"/>
          <w:szCs w:val="20"/>
          <w:lang w:val="en-GB"/>
        </w:rPr>
        <w:t xml:space="preserve">R. v. The Queen in Right of British Columbia, </w:t>
      </w:r>
      <w:r w:rsidRPr="00AB6AA7">
        <w:rPr>
          <w:rFonts w:ascii="Arial" w:hAnsi="Arial"/>
          <w:b/>
          <w:bCs/>
          <w:sz w:val="20"/>
          <w:szCs w:val="20"/>
          <w:lang w:val="en-GB"/>
        </w:rPr>
        <w:t>2006 BCPC 73</w:t>
      </w:r>
      <w:r w:rsidRPr="00AB6AA7">
        <w:rPr>
          <w:rFonts w:ascii="Arial" w:hAnsi="Arial"/>
          <w:sz w:val="20"/>
          <w:szCs w:val="20"/>
          <w:lang w:val="en-GB"/>
        </w:rPr>
        <w:t xml:space="preserve"> (CanLII), at paras. 355-356, sediment deposits that measured 11-22.5 cm thick were considered, based on expert testimony, to be sufficient to cause the death of living organisms and long-term impairment of habitat, and were therefore considered to be a deleterious substance (paras. 355-356).</w:t>
      </w:r>
      <w:r w:rsidR="009059F4">
        <w:rPr>
          <w:rFonts w:ascii="Arial" w:hAnsi="Arial"/>
          <w:sz w:val="20"/>
          <w:szCs w:val="20"/>
          <w:lang w:val="en-GB"/>
        </w:rPr>
        <w:t xml:space="preserve"> </w:t>
      </w:r>
      <w:r w:rsidRPr="00AB6AA7">
        <w:rPr>
          <w:rFonts w:ascii="Arial" w:hAnsi="Arial"/>
          <w:sz w:val="20"/>
          <w:szCs w:val="20"/>
          <w:lang w:val="en-GB"/>
        </w:rPr>
        <w:t xml:space="preserve">After the Mount Polley spill, sediment deposits at the bottom of Quesnel Lake may have been up to 10 </w:t>
      </w:r>
      <w:r w:rsidR="009059F4" w:rsidRPr="00AB6AA7">
        <w:rPr>
          <w:rFonts w:ascii="Arial" w:hAnsi="Arial"/>
          <w:sz w:val="20"/>
          <w:szCs w:val="20"/>
          <w:lang w:val="en-GB"/>
        </w:rPr>
        <w:t>met</w:t>
      </w:r>
      <w:r w:rsidR="009059F4">
        <w:rPr>
          <w:rFonts w:ascii="Arial" w:hAnsi="Arial"/>
          <w:sz w:val="20"/>
          <w:szCs w:val="20"/>
          <w:lang w:val="en-GB"/>
        </w:rPr>
        <w:t>re</w:t>
      </w:r>
      <w:r w:rsidR="009059F4" w:rsidRPr="00AB6AA7">
        <w:rPr>
          <w:rFonts w:ascii="Arial" w:hAnsi="Arial"/>
          <w:sz w:val="20"/>
          <w:szCs w:val="20"/>
          <w:lang w:val="en-GB"/>
        </w:rPr>
        <w:t xml:space="preserve">s </w:t>
      </w:r>
      <w:r w:rsidRPr="00AB6AA7">
        <w:rPr>
          <w:rFonts w:ascii="Arial" w:hAnsi="Arial"/>
          <w:sz w:val="20"/>
          <w:szCs w:val="20"/>
          <w:lang w:val="en-GB"/>
        </w:rPr>
        <w:t>thick in some places; within lower Hazeltine Creek sediment deposits were measured at 0.15-1.5m, and exceeded 3.5m in some places near the vicinity of the breach.</w:t>
      </w:r>
      <w:r w:rsidR="009059F4">
        <w:rPr>
          <w:rFonts w:ascii="Arial" w:hAnsi="Arial"/>
          <w:sz w:val="20"/>
          <w:szCs w:val="20"/>
          <w:lang w:val="en-GB"/>
        </w:rPr>
        <w:t xml:space="preserve"> </w:t>
      </w:r>
    </w:p>
    <w:p w14:paraId="5ED2E23F" w14:textId="77777777" w:rsidR="004B09BB" w:rsidRPr="00AB6AA7" w:rsidRDefault="004B09BB" w:rsidP="001D6704">
      <w:pPr>
        <w:rPr>
          <w:rFonts w:ascii="Arial" w:hAnsi="Arial"/>
          <w:sz w:val="20"/>
          <w:szCs w:val="20"/>
          <w:lang w:val="en-GB"/>
        </w:rPr>
      </w:pPr>
    </w:p>
    <w:p w14:paraId="5B3E86F7" w14:textId="2EC25483"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Also, </w:t>
      </w:r>
      <w:r w:rsidRPr="00AB6AA7">
        <w:rPr>
          <w:rFonts w:ascii="Arial" w:hAnsi="Arial"/>
          <w:b/>
          <w:bCs/>
          <w:sz w:val="20"/>
          <w:szCs w:val="20"/>
          <w:lang w:val="en-GB"/>
        </w:rPr>
        <w:t>Minnow Environmental Inc.</w:t>
      </w:r>
      <w:r w:rsidRPr="00AB6AA7">
        <w:rPr>
          <w:rFonts w:ascii="Arial" w:hAnsi="Arial"/>
          <w:sz w:val="20"/>
          <w:szCs w:val="20"/>
          <w:lang w:val="en-GB"/>
        </w:rPr>
        <w:t xml:space="preserve"> produced a report titled Mount Polley Tailings Dam Failure Sediment Quality Impact Characterization for MPMC in 2015.</w:t>
      </w:r>
      <w:r w:rsidR="009059F4">
        <w:rPr>
          <w:rFonts w:ascii="Arial" w:hAnsi="Arial"/>
          <w:sz w:val="20"/>
          <w:szCs w:val="20"/>
          <w:lang w:val="en-GB"/>
        </w:rPr>
        <w:t xml:space="preserve"> </w:t>
      </w:r>
      <w:r w:rsidRPr="00AB6AA7">
        <w:rPr>
          <w:rFonts w:ascii="Arial" w:hAnsi="Arial"/>
          <w:sz w:val="20"/>
          <w:szCs w:val="20"/>
          <w:lang w:val="en-GB"/>
        </w:rPr>
        <w:t xml:space="preserve">This report examined the concentrations of various substances within the sediment of Hazeltine Creek and other nearby water bodies and compared them against baseline data from before the Mount Polley spill. It also assessed some of the toxicity effects or potential effects. Its findings include: </w:t>
      </w:r>
    </w:p>
    <w:p w14:paraId="08CCAA25" w14:textId="77777777" w:rsidR="004B09BB" w:rsidRPr="00AB6AA7" w:rsidRDefault="004B09BB" w:rsidP="001D6704">
      <w:pPr>
        <w:rPr>
          <w:rFonts w:ascii="Arial" w:hAnsi="Arial"/>
          <w:sz w:val="20"/>
          <w:szCs w:val="20"/>
          <w:lang w:val="en-GB"/>
        </w:rPr>
      </w:pPr>
    </w:p>
    <w:p w14:paraId="2EA7FCF3" w14:textId="77777777" w:rsidR="004B09BB" w:rsidRPr="00AB6AA7" w:rsidRDefault="004B09BB" w:rsidP="00A81876">
      <w:pPr>
        <w:pStyle w:val="Paragraphedeliste"/>
        <w:widowControl/>
        <w:numPr>
          <w:ilvl w:val="0"/>
          <w:numId w:val="1"/>
        </w:numPr>
        <w:suppressAutoHyphens w:val="0"/>
        <w:contextualSpacing w:val="0"/>
        <w:rPr>
          <w:rFonts w:ascii="Arial" w:hAnsi="Arial" w:cs="Arial"/>
          <w:sz w:val="20"/>
          <w:szCs w:val="20"/>
          <w:lang w:val="en-GB"/>
        </w:rPr>
      </w:pPr>
      <w:r w:rsidRPr="00AB6AA7">
        <w:rPr>
          <w:rFonts w:ascii="Arial" w:hAnsi="Arial" w:cs="Arial"/>
          <w:b/>
          <w:bCs/>
          <w:sz w:val="20"/>
          <w:szCs w:val="20"/>
          <w:lang w:val="en-GB"/>
        </w:rPr>
        <w:t>In Hazeltine Creek, arsenic, copper, iron and nickel in sediment</w:t>
      </w:r>
      <w:r w:rsidRPr="00AB6AA7">
        <w:rPr>
          <w:rFonts w:ascii="Arial" w:hAnsi="Arial" w:cs="Arial"/>
          <w:sz w:val="20"/>
          <w:szCs w:val="20"/>
          <w:lang w:val="en-GB"/>
        </w:rPr>
        <w:t xml:space="preserve"> were elevated above pre-event concentrations and were greater than Sediment Quality Guidelines (SQG) for the protection of aquatic life. Copper was the most substantially elevated, with mean concentrations up to </w:t>
      </w:r>
      <w:r w:rsidRPr="00AB6AA7">
        <w:rPr>
          <w:rFonts w:ascii="Arial" w:hAnsi="Arial" w:cs="Arial"/>
          <w:b/>
          <w:bCs/>
          <w:sz w:val="20"/>
          <w:szCs w:val="20"/>
          <w:lang w:val="en-GB"/>
        </w:rPr>
        <w:t>fifteen times</w:t>
      </w:r>
      <w:r w:rsidRPr="00AB6AA7">
        <w:rPr>
          <w:rFonts w:ascii="Arial" w:hAnsi="Arial" w:cs="Arial"/>
          <w:sz w:val="20"/>
          <w:szCs w:val="20"/>
          <w:lang w:val="en-GB"/>
        </w:rPr>
        <w:t xml:space="preserve"> pre-event concentrations. </w:t>
      </w:r>
    </w:p>
    <w:p w14:paraId="7D9FAFE5" w14:textId="77777777" w:rsidR="004B09BB" w:rsidRPr="00AB6AA7" w:rsidRDefault="004B09BB" w:rsidP="001D6704">
      <w:pPr>
        <w:pStyle w:val="Paragraphedeliste"/>
        <w:contextualSpacing w:val="0"/>
        <w:rPr>
          <w:rFonts w:ascii="Arial" w:hAnsi="Arial" w:cs="Arial"/>
          <w:sz w:val="20"/>
          <w:szCs w:val="20"/>
          <w:lang w:val="en-GB"/>
        </w:rPr>
      </w:pPr>
    </w:p>
    <w:p w14:paraId="722BD82D" w14:textId="77777777" w:rsidR="004B09BB" w:rsidRPr="00AB6AA7" w:rsidRDefault="004B09BB" w:rsidP="00A81876">
      <w:pPr>
        <w:pStyle w:val="Paragraphedeliste"/>
        <w:widowControl/>
        <w:numPr>
          <w:ilvl w:val="0"/>
          <w:numId w:val="1"/>
        </w:numPr>
        <w:suppressAutoHyphens w:val="0"/>
        <w:contextualSpacing w:val="0"/>
        <w:rPr>
          <w:rFonts w:ascii="Arial" w:hAnsi="Arial" w:cs="Arial"/>
          <w:sz w:val="20"/>
          <w:szCs w:val="20"/>
          <w:lang w:val="en-GB"/>
        </w:rPr>
      </w:pPr>
      <w:r w:rsidRPr="00AB6AA7">
        <w:rPr>
          <w:rFonts w:ascii="Arial" w:hAnsi="Arial" w:cs="Arial"/>
          <w:b/>
          <w:bCs/>
          <w:sz w:val="20"/>
          <w:szCs w:val="20"/>
          <w:lang w:val="en-GB"/>
        </w:rPr>
        <w:t>In Polley Lake</w:t>
      </w:r>
      <w:r w:rsidRPr="00AB6AA7">
        <w:rPr>
          <w:rFonts w:ascii="Arial" w:hAnsi="Arial" w:cs="Arial"/>
          <w:sz w:val="20"/>
          <w:szCs w:val="20"/>
          <w:lang w:val="en-GB"/>
        </w:rPr>
        <w:t xml:space="preserve">, </w:t>
      </w:r>
      <w:r w:rsidRPr="00AB6AA7">
        <w:rPr>
          <w:rFonts w:ascii="Arial" w:hAnsi="Arial" w:cs="Arial"/>
          <w:b/>
          <w:bCs/>
          <w:sz w:val="20"/>
          <w:szCs w:val="20"/>
          <w:lang w:val="en-GB"/>
        </w:rPr>
        <w:t>copper and iron in sediment</w:t>
      </w:r>
      <w:r w:rsidRPr="00AB6AA7">
        <w:rPr>
          <w:rFonts w:ascii="Arial" w:hAnsi="Arial" w:cs="Arial"/>
          <w:sz w:val="20"/>
          <w:szCs w:val="20"/>
          <w:lang w:val="en-GB"/>
        </w:rPr>
        <w:t xml:space="preserve"> were above sediment quality guidelines concentrations and higher than reference concentrations. Deep-area sediments showed elevated </w:t>
      </w:r>
      <w:r w:rsidRPr="00AB6AA7">
        <w:rPr>
          <w:rFonts w:ascii="Arial" w:hAnsi="Arial" w:cs="Arial"/>
          <w:b/>
          <w:bCs/>
          <w:sz w:val="20"/>
          <w:szCs w:val="20"/>
          <w:lang w:val="en-GB"/>
        </w:rPr>
        <w:t xml:space="preserve">arsenic </w:t>
      </w:r>
      <w:r w:rsidRPr="00AB6AA7">
        <w:rPr>
          <w:rFonts w:ascii="Arial" w:hAnsi="Arial" w:cs="Arial"/>
          <w:sz w:val="20"/>
          <w:szCs w:val="20"/>
          <w:lang w:val="en-GB"/>
        </w:rPr>
        <w:t xml:space="preserve">and </w:t>
      </w:r>
      <w:r w:rsidRPr="00AB6AA7">
        <w:rPr>
          <w:rFonts w:ascii="Arial" w:hAnsi="Arial" w:cs="Arial"/>
          <w:b/>
          <w:bCs/>
          <w:sz w:val="20"/>
          <w:szCs w:val="20"/>
          <w:lang w:val="en-GB"/>
        </w:rPr>
        <w:t>copper</w:t>
      </w:r>
      <w:r w:rsidRPr="00AB6AA7">
        <w:rPr>
          <w:rFonts w:ascii="Arial" w:hAnsi="Arial" w:cs="Arial"/>
          <w:sz w:val="20"/>
          <w:szCs w:val="20"/>
          <w:lang w:val="en-GB"/>
        </w:rPr>
        <w:t xml:space="preserve">, with one area also showing </w:t>
      </w:r>
      <w:r w:rsidRPr="00AB6AA7">
        <w:rPr>
          <w:rFonts w:ascii="Arial" w:hAnsi="Arial" w:cs="Arial"/>
          <w:b/>
          <w:bCs/>
          <w:sz w:val="20"/>
          <w:szCs w:val="20"/>
          <w:lang w:val="en-GB"/>
        </w:rPr>
        <w:t>elevated zinc</w:t>
      </w:r>
      <w:r w:rsidRPr="00AB6AA7">
        <w:rPr>
          <w:rFonts w:ascii="Arial" w:hAnsi="Arial" w:cs="Arial"/>
          <w:sz w:val="20"/>
          <w:szCs w:val="20"/>
          <w:lang w:val="en-GB"/>
        </w:rPr>
        <w:t xml:space="preserve">. </w:t>
      </w:r>
    </w:p>
    <w:p w14:paraId="17113D72" w14:textId="77777777" w:rsidR="004B09BB" w:rsidRPr="00AB6AA7" w:rsidRDefault="004B09BB" w:rsidP="001D6704">
      <w:pPr>
        <w:pStyle w:val="Paragraphedeliste"/>
        <w:contextualSpacing w:val="0"/>
        <w:rPr>
          <w:rFonts w:ascii="Arial" w:hAnsi="Arial" w:cs="Arial"/>
          <w:sz w:val="20"/>
          <w:szCs w:val="20"/>
          <w:lang w:val="en-GB"/>
        </w:rPr>
      </w:pPr>
    </w:p>
    <w:p w14:paraId="0B6F0513" w14:textId="7030E739" w:rsidR="004B09BB" w:rsidRPr="00AB6AA7" w:rsidRDefault="004B09BB" w:rsidP="00A81876">
      <w:pPr>
        <w:pStyle w:val="Paragraphedeliste"/>
        <w:widowControl/>
        <w:numPr>
          <w:ilvl w:val="0"/>
          <w:numId w:val="1"/>
        </w:numPr>
        <w:suppressAutoHyphens w:val="0"/>
        <w:contextualSpacing w:val="0"/>
        <w:rPr>
          <w:rFonts w:ascii="Arial" w:hAnsi="Arial" w:cs="Arial"/>
          <w:sz w:val="20"/>
          <w:szCs w:val="20"/>
          <w:lang w:val="en-GB"/>
        </w:rPr>
      </w:pPr>
      <w:r w:rsidRPr="00AB6AA7">
        <w:rPr>
          <w:rFonts w:ascii="Arial" w:hAnsi="Arial" w:cs="Arial"/>
          <w:b/>
          <w:bCs/>
          <w:sz w:val="20"/>
          <w:szCs w:val="20"/>
          <w:lang w:val="en-GB"/>
        </w:rPr>
        <w:t>The Quesnel Lake littoral zone showed arsenic, copper, iron and manganese in sediment</w:t>
      </w:r>
      <w:r w:rsidRPr="00AB6AA7">
        <w:rPr>
          <w:rFonts w:ascii="Arial" w:hAnsi="Arial" w:cs="Arial"/>
          <w:sz w:val="20"/>
          <w:szCs w:val="20"/>
          <w:lang w:val="en-GB"/>
        </w:rPr>
        <w:t xml:space="preserve"> at levels above SQG and higher than reference concentrations</w:t>
      </w:r>
      <w:r w:rsidRPr="00AB6AA7">
        <w:rPr>
          <w:rFonts w:ascii="Arial" w:hAnsi="Arial" w:cs="Arial"/>
          <w:b/>
          <w:bCs/>
          <w:sz w:val="20"/>
          <w:szCs w:val="20"/>
          <w:lang w:val="en-GB"/>
        </w:rPr>
        <w:t>.</w:t>
      </w:r>
      <w:r w:rsidR="009059F4">
        <w:rPr>
          <w:rFonts w:ascii="Arial" w:hAnsi="Arial" w:cs="Arial"/>
          <w:b/>
          <w:bCs/>
          <w:sz w:val="20"/>
          <w:szCs w:val="20"/>
          <w:lang w:val="en-GB"/>
        </w:rPr>
        <w:t xml:space="preserve"> </w:t>
      </w:r>
      <w:r w:rsidRPr="00AB6AA7">
        <w:rPr>
          <w:rFonts w:ascii="Arial" w:hAnsi="Arial" w:cs="Arial"/>
          <w:b/>
          <w:bCs/>
          <w:sz w:val="20"/>
          <w:szCs w:val="20"/>
          <w:lang w:val="en-GB"/>
        </w:rPr>
        <w:t>Copper</w:t>
      </w:r>
      <w:r w:rsidRPr="00AB6AA7">
        <w:rPr>
          <w:rFonts w:ascii="Arial" w:hAnsi="Arial" w:cs="Arial"/>
          <w:sz w:val="20"/>
          <w:szCs w:val="20"/>
          <w:lang w:val="en-GB"/>
        </w:rPr>
        <w:t xml:space="preserve"> was the most elevated, at more than </w:t>
      </w:r>
      <w:r w:rsidRPr="00AB6AA7">
        <w:rPr>
          <w:rFonts w:ascii="Arial" w:hAnsi="Arial" w:cs="Arial"/>
          <w:b/>
          <w:bCs/>
          <w:sz w:val="20"/>
          <w:szCs w:val="20"/>
          <w:lang w:val="en-GB"/>
        </w:rPr>
        <w:t>24 times</w:t>
      </w:r>
      <w:r w:rsidRPr="00AB6AA7">
        <w:rPr>
          <w:rFonts w:ascii="Arial" w:hAnsi="Arial" w:cs="Arial"/>
          <w:sz w:val="20"/>
          <w:szCs w:val="20"/>
          <w:lang w:val="en-GB"/>
        </w:rPr>
        <w:t xml:space="preserve"> the pre-event reference concentration. In the Quesnel Lake profundal zone, copper was also found to be above guideline levels and reference concentrations. </w:t>
      </w:r>
    </w:p>
    <w:p w14:paraId="3D226865" w14:textId="77777777" w:rsidR="004B09BB" w:rsidRPr="00AB6AA7" w:rsidRDefault="004B09BB" w:rsidP="001D6704">
      <w:pPr>
        <w:pStyle w:val="Paragraphedeliste"/>
        <w:contextualSpacing w:val="0"/>
        <w:rPr>
          <w:rFonts w:ascii="Arial" w:hAnsi="Arial" w:cs="Arial"/>
          <w:sz w:val="20"/>
          <w:szCs w:val="20"/>
          <w:lang w:val="en-GB" w:eastAsia="en-CA"/>
        </w:rPr>
      </w:pPr>
    </w:p>
    <w:p w14:paraId="6C0BB0E6" w14:textId="77777777" w:rsidR="004B09BB" w:rsidRPr="00AB6AA7" w:rsidRDefault="004B09BB" w:rsidP="00A81876">
      <w:pPr>
        <w:pStyle w:val="Paragraphedeliste"/>
        <w:widowControl/>
        <w:numPr>
          <w:ilvl w:val="0"/>
          <w:numId w:val="2"/>
        </w:numPr>
        <w:suppressAutoHyphens w:val="0"/>
        <w:contextualSpacing w:val="0"/>
        <w:rPr>
          <w:rFonts w:ascii="Arial" w:hAnsi="Arial" w:cs="Arial"/>
          <w:sz w:val="20"/>
          <w:szCs w:val="20"/>
          <w:lang w:val="en-GB" w:eastAsia="en-CA"/>
        </w:rPr>
      </w:pPr>
      <w:r w:rsidRPr="00AB6AA7">
        <w:rPr>
          <w:rFonts w:ascii="Arial" w:hAnsi="Arial" w:cs="Arial"/>
          <w:sz w:val="20"/>
          <w:szCs w:val="20"/>
          <w:lang w:val="en-GB" w:eastAsia="en-CA"/>
        </w:rPr>
        <w:t xml:space="preserve">Overall, the results of the interim assessment indicate that there is </w:t>
      </w:r>
      <w:r w:rsidRPr="00AB6AA7">
        <w:rPr>
          <w:rFonts w:ascii="Arial" w:hAnsi="Arial" w:cs="Arial"/>
          <w:b/>
          <w:bCs/>
          <w:sz w:val="20"/>
          <w:szCs w:val="20"/>
          <w:lang w:val="en-GB" w:eastAsia="en-CA"/>
        </w:rPr>
        <w:t xml:space="preserve">strong evidence of an impact to sediments, both physically and chemically, </w:t>
      </w:r>
      <w:r w:rsidRPr="00AB6AA7">
        <w:rPr>
          <w:rFonts w:ascii="Arial" w:hAnsi="Arial" w:cs="Arial"/>
          <w:sz w:val="20"/>
          <w:szCs w:val="20"/>
          <w:lang w:val="en-GB" w:eastAsia="en-CA"/>
        </w:rPr>
        <w:t xml:space="preserve">within Hazeltine Creek and within portions of Polley Lake and Quesnel Lake. Chemical impacts are most evident in elevated copper and iron, but also in moderately elevated concentrations of arsenic, manganese, nickel and zinc. For </w:t>
      </w:r>
      <w:r w:rsidRPr="00AB6AA7">
        <w:rPr>
          <w:rFonts w:ascii="Arial" w:hAnsi="Arial" w:cs="Arial"/>
          <w:b/>
          <w:bCs/>
          <w:sz w:val="20"/>
          <w:szCs w:val="20"/>
          <w:lang w:val="en-GB" w:eastAsia="en-CA"/>
        </w:rPr>
        <w:t>copper</w:t>
      </w:r>
      <w:r w:rsidRPr="00AB6AA7">
        <w:rPr>
          <w:rFonts w:ascii="Arial" w:hAnsi="Arial" w:cs="Arial"/>
          <w:sz w:val="20"/>
          <w:szCs w:val="20"/>
          <w:lang w:val="en-GB" w:eastAsia="en-CA"/>
        </w:rPr>
        <w:t>, sediments in the failure-affected aquatic environments were consistently exceeding provincial Sediment Quality Guidelines,</w:t>
      </w:r>
      <w:r w:rsidRPr="00AB6AA7">
        <w:rPr>
          <w:rFonts w:ascii="Arial" w:hAnsi="Arial" w:cs="Arial"/>
          <w:sz w:val="20"/>
          <w:szCs w:val="20"/>
          <w:lang w:val="en-GB"/>
        </w:rPr>
        <w:t xml:space="preserve"> and several times higher than reference concentrations. Both </w:t>
      </w:r>
      <w:r w:rsidRPr="00AB6AA7">
        <w:rPr>
          <w:rFonts w:ascii="Arial" w:hAnsi="Arial" w:cs="Arial"/>
          <w:b/>
          <w:bCs/>
          <w:sz w:val="20"/>
          <w:szCs w:val="20"/>
          <w:lang w:val="en-GB" w:eastAsia="en-CA"/>
        </w:rPr>
        <w:t>copper and iron</w:t>
      </w:r>
      <w:r w:rsidRPr="00AB6AA7">
        <w:rPr>
          <w:rFonts w:ascii="Arial" w:hAnsi="Arial" w:cs="Arial"/>
          <w:sz w:val="20"/>
          <w:szCs w:val="20"/>
          <w:lang w:val="en-GB" w:eastAsia="en-CA"/>
        </w:rPr>
        <w:t xml:space="preserve"> occurred at concentrations greater than SQG’s “probable effect” levels, which indicate concentrations with a potential to adversely affect aquatic life. </w:t>
      </w:r>
    </w:p>
    <w:p w14:paraId="178E48F7" w14:textId="77777777" w:rsidR="004B09BB" w:rsidRPr="00AB6AA7" w:rsidRDefault="004B09BB" w:rsidP="001D6704">
      <w:pPr>
        <w:pStyle w:val="Paragraphedeliste"/>
        <w:contextualSpacing w:val="0"/>
        <w:rPr>
          <w:rFonts w:ascii="Arial" w:hAnsi="Arial" w:cs="Arial"/>
          <w:sz w:val="20"/>
          <w:szCs w:val="20"/>
          <w:lang w:val="en-GB" w:eastAsia="en-CA"/>
        </w:rPr>
      </w:pPr>
    </w:p>
    <w:p w14:paraId="4891E44D" w14:textId="77777777" w:rsidR="004B09BB" w:rsidRPr="00AB6AA7" w:rsidRDefault="004B09BB" w:rsidP="00A81876">
      <w:pPr>
        <w:pStyle w:val="Paragraphedeliste"/>
        <w:widowControl/>
        <w:numPr>
          <w:ilvl w:val="0"/>
          <w:numId w:val="2"/>
        </w:numPr>
        <w:suppressAutoHyphens w:val="0"/>
        <w:contextualSpacing w:val="0"/>
        <w:rPr>
          <w:rFonts w:ascii="Arial" w:hAnsi="Arial" w:cs="Arial"/>
          <w:sz w:val="20"/>
          <w:szCs w:val="20"/>
          <w:lang w:val="en-GB" w:eastAsia="en-CA"/>
        </w:rPr>
      </w:pPr>
      <w:r w:rsidRPr="00AB6AA7">
        <w:rPr>
          <w:rFonts w:ascii="Arial" w:hAnsi="Arial" w:cs="Arial"/>
          <w:sz w:val="20"/>
          <w:szCs w:val="20"/>
          <w:lang w:val="en-GB" w:eastAsia="en-CA"/>
        </w:rPr>
        <w:t xml:space="preserve">Benthic invertebrate community assessment also indicated </w:t>
      </w:r>
      <w:r w:rsidRPr="00AB6AA7">
        <w:rPr>
          <w:rFonts w:ascii="Arial" w:hAnsi="Arial" w:cs="Arial"/>
          <w:b/>
          <w:bCs/>
          <w:sz w:val="20"/>
          <w:szCs w:val="20"/>
          <w:lang w:val="en-GB" w:eastAsia="en-CA"/>
        </w:rPr>
        <w:t>effects to benthic invertebrates</w:t>
      </w:r>
      <w:r w:rsidRPr="00AB6AA7">
        <w:rPr>
          <w:rFonts w:ascii="Arial" w:hAnsi="Arial" w:cs="Arial"/>
          <w:sz w:val="20"/>
          <w:szCs w:val="20"/>
          <w:lang w:val="en-GB" w:eastAsia="en-CA"/>
        </w:rPr>
        <w:t xml:space="preserve"> in a number of areas, ranging from: 1) an absence of organisms, 2) lower density and taxon richness, and 3) limited differences in community composition. Analysis of sediment-dwelling benthic invertebrate communities indicated </w:t>
      </w:r>
      <w:r w:rsidRPr="00AB6AA7">
        <w:rPr>
          <w:rFonts w:ascii="Arial" w:hAnsi="Arial" w:cs="Arial"/>
          <w:b/>
          <w:bCs/>
          <w:sz w:val="20"/>
          <w:szCs w:val="20"/>
          <w:lang w:val="en-GB" w:eastAsia="en-CA"/>
        </w:rPr>
        <w:t>fewer invertebrates and lower diversity</w:t>
      </w:r>
      <w:r w:rsidRPr="00AB6AA7">
        <w:rPr>
          <w:rFonts w:ascii="Arial" w:hAnsi="Arial" w:cs="Arial"/>
          <w:sz w:val="20"/>
          <w:szCs w:val="20"/>
          <w:lang w:val="en-GB" w:eastAsia="en-CA"/>
        </w:rPr>
        <w:t xml:space="preserve"> in Hazeltine Creek, Polley Lake, and areas of Quesnel Lake that were influenced by the dam failure. Standard toxicity test organisms were evaluated under laboratory conditions to determine if sediment-dwelling organisms could survive and grow normally. </w:t>
      </w:r>
      <w:r w:rsidRPr="00AB6AA7">
        <w:rPr>
          <w:rFonts w:ascii="Arial" w:hAnsi="Arial" w:cs="Arial"/>
          <w:b/>
          <w:bCs/>
          <w:sz w:val="20"/>
          <w:szCs w:val="20"/>
          <w:lang w:val="en-GB" w:eastAsia="en-CA"/>
        </w:rPr>
        <w:t>In several samples, these organisms did not survive or grow as successfully</w:t>
      </w:r>
      <w:r w:rsidRPr="00AB6AA7">
        <w:rPr>
          <w:rFonts w:ascii="Arial" w:hAnsi="Arial" w:cs="Arial"/>
          <w:sz w:val="20"/>
          <w:szCs w:val="20"/>
          <w:lang w:val="en-GB" w:eastAsia="en-CA"/>
        </w:rPr>
        <w:t xml:space="preserve"> as those exposed to reference sediment.</w:t>
      </w:r>
    </w:p>
    <w:p w14:paraId="1FF03D22" w14:textId="77777777" w:rsidR="004B09BB" w:rsidRPr="00AB6AA7" w:rsidRDefault="004B09BB" w:rsidP="001D6704">
      <w:pPr>
        <w:rPr>
          <w:rFonts w:ascii="Arial" w:hAnsi="Arial"/>
          <w:sz w:val="20"/>
          <w:szCs w:val="20"/>
          <w:lang w:val="en-GB" w:eastAsia="en-CA"/>
        </w:rPr>
      </w:pPr>
    </w:p>
    <w:p w14:paraId="5E660F0D" w14:textId="77777777" w:rsidR="004B09BB" w:rsidRPr="00AB6AA7" w:rsidRDefault="004B09BB" w:rsidP="001D6704">
      <w:pPr>
        <w:rPr>
          <w:rFonts w:ascii="Arial" w:hAnsi="Arial"/>
          <w:sz w:val="20"/>
          <w:szCs w:val="20"/>
          <w:lang w:val="en-GB" w:eastAsia="en-CA"/>
        </w:rPr>
      </w:pPr>
      <w:r w:rsidRPr="00AB6AA7">
        <w:rPr>
          <w:rFonts w:ascii="Arial" w:hAnsi="Arial"/>
          <w:sz w:val="20"/>
          <w:szCs w:val="20"/>
          <w:lang w:val="en-GB" w:eastAsia="en-CA"/>
        </w:rPr>
        <w:t>These findings were corroborated to a large extent with those of the BC Ministry of Environment’s memo “</w:t>
      </w:r>
      <w:r w:rsidRPr="00AB6AA7">
        <w:rPr>
          <w:rFonts w:ascii="Arial" w:hAnsi="Arial"/>
          <w:i/>
          <w:iCs/>
          <w:sz w:val="20"/>
          <w:szCs w:val="20"/>
          <w:lang w:val="en-GB" w:eastAsia="en-CA"/>
        </w:rPr>
        <w:t>Quesnel Lake Sediment Quality for samples collected May 21, 22 and 25, 2015 compared to Working Sediment Quality Guidelines”</w:t>
      </w:r>
      <w:r w:rsidRPr="00AB6AA7">
        <w:rPr>
          <w:rFonts w:ascii="Arial" w:hAnsi="Arial"/>
          <w:sz w:val="20"/>
          <w:szCs w:val="20"/>
          <w:lang w:val="en-GB" w:eastAsia="en-CA"/>
        </w:rPr>
        <w:t xml:space="preserve"> (April 26 2016), which indicate </w:t>
      </w:r>
      <w:r w:rsidRPr="00AB6AA7">
        <w:rPr>
          <w:rFonts w:ascii="Arial" w:hAnsi="Arial"/>
          <w:b/>
          <w:bCs/>
          <w:sz w:val="20"/>
          <w:szCs w:val="20"/>
          <w:lang w:val="en-GB" w:eastAsia="en-CA"/>
        </w:rPr>
        <w:t>multiple exceedances of contaminant concentrations</w:t>
      </w:r>
      <w:r w:rsidRPr="00AB6AA7">
        <w:rPr>
          <w:rFonts w:ascii="Arial" w:hAnsi="Arial"/>
          <w:sz w:val="20"/>
          <w:szCs w:val="20"/>
          <w:lang w:val="en-GB" w:eastAsia="en-CA"/>
        </w:rPr>
        <w:t>:</w:t>
      </w:r>
    </w:p>
    <w:p w14:paraId="0C5C4D6D" w14:textId="77777777" w:rsidR="004B09BB" w:rsidRPr="00AB6AA7" w:rsidRDefault="004B09BB" w:rsidP="001D6704">
      <w:pPr>
        <w:rPr>
          <w:rFonts w:ascii="Arial" w:hAnsi="Arial"/>
          <w:sz w:val="20"/>
          <w:szCs w:val="20"/>
          <w:lang w:val="en-GB" w:eastAsia="en-CA"/>
        </w:rPr>
      </w:pPr>
    </w:p>
    <w:p w14:paraId="4C13110F" w14:textId="77777777" w:rsidR="004B09BB" w:rsidRPr="00AB6AA7" w:rsidRDefault="004B09BB" w:rsidP="00A81876">
      <w:pPr>
        <w:pStyle w:val="Paragraphedeliste"/>
        <w:widowControl/>
        <w:numPr>
          <w:ilvl w:val="0"/>
          <w:numId w:val="3"/>
        </w:numPr>
        <w:suppressAutoHyphens w:val="0"/>
        <w:contextualSpacing w:val="0"/>
        <w:rPr>
          <w:rFonts w:ascii="Arial" w:hAnsi="Arial" w:cs="Arial"/>
          <w:sz w:val="20"/>
          <w:szCs w:val="20"/>
          <w:lang w:val="en-GB" w:eastAsia="en-CA"/>
        </w:rPr>
      </w:pPr>
      <w:r w:rsidRPr="00AB6AA7">
        <w:rPr>
          <w:rFonts w:ascii="Arial" w:hAnsi="Arial" w:cs="Arial"/>
          <w:sz w:val="20"/>
          <w:szCs w:val="20"/>
          <w:lang w:val="en-GB" w:eastAsia="en-CA"/>
        </w:rPr>
        <w:t>above the Upper limits of the Working Sediments Quality Guideline (WSQG) for</w:t>
      </w:r>
      <w:r w:rsidRPr="00AB6AA7">
        <w:rPr>
          <w:rFonts w:ascii="Arial" w:hAnsi="Arial" w:cs="Arial"/>
          <w:b/>
          <w:bCs/>
          <w:sz w:val="20"/>
          <w:szCs w:val="20"/>
          <w:lang w:val="en-GB" w:eastAsia="en-CA"/>
        </w:rPr>
        <w:t xml:space="preserve"> arsenic, copper, iron, and manganese, </w:t>
      </w:r>
      <w:r w:rsidRPr="00AB6AA7">
        <w:rPr>
          <w:rFonts w:ascii="Arial" w:hAnsi="Arial" w:cs="Arial"/>
          <w:sz w:val="20"/>
          <w:szCs w:val="20"/>
          <w:lang w:val="en-GB" w:eastAsia="en-CA"/>
        </w:rPr>
        <w:t xml:space="preserve">and </w:t>
      </w:r>
    </w:p>
    <w:p w14:paraId="12824AB6" w14:textId="77777777" w:rsidR="004B09BB" w:rsidRPr="00AB6AA7" w:rsidRDefault="004B09BB" w:rsidP="001D6704">
      <w:pPr>
        <w:pStyle w:val="Paragraphedeliste"/>
        <w:contextualSpacing w:val="0"/>
        <w:rPr>
          <w:rFonts w:ascii="Arial" w:hAnsi="Arial" w:cs="Arial"/>
          <w:sz w:val="20"/>
          <w:szCs w:val="20"/>
          <w:lang w:val="en-GB" w:eastAsia="en-CA"/>
        </w:rPr>
      </w:pPr>
    </w:p>
    <w:p w14:paraId="2B78EEED" w14:textId="77777777" w:rsidR="004B09BB" w:rsidRPr="00AB6AA7" w:rsidRDefault="004B09BB" w:rsidP="00A81876">
      <w:pPr>
        <w:pStyle w:val="Paragraphedeliste"/>
        <w:widowControl/>
        <w:numPr>
          <w:ilvl w:val="0"/>
          <w:numId w:val="3"/>
        </w:numPr>
        <w:suppressAutoHyphens w:val="0"/>
        <w:contextualSpacing w:val="0"/>
        <w:rPr>
          <w:rFonts w:ascii="Arial" w:hAnsi="Arial" w:cs="Arial"/>
          <w:sz w:val="20"/>
          <w:szCs w:val="20"/>
          <w:lang w:val="en-GB" w:eastAsia="en-CA"/>
        </w:rPr>
      </w:pPr>
      <w:r w:rsidRPr="00AB6AA7">
        <w:rPr>
          <w:rFonts w:ascii="Arial" w:hAnsi="Arial" w:cs="Arial"/>
          <w:sz w:val="20"/>
          <w:szCs w:val="20"/>
          <w:lang w:val="en-GB" w:eastAsia="en-CA"/>
        </w:rPr>
        <w:t>above the WSQG’s Lower limits for</w:t>
      </w:r>
      <w:r w:rsidRPr="00AB6AA7">
        <w:rPr>
          <w:rFonts w:ascii="Arial" w:hAnsi="Arial" w:cs="Arial"/>
          <w:b/>
          <w:bCs/>
          <w:sz w:val="20"/>
          <w:szCs w:val="20"/>
          <w:lang w:val="en-GB" w:eastAsia="en-CA"/>
        </w:rPr>
        <w:t xml:space="preserve"> nickel and zinc.</w:t>
      </w:r>
      <w:r w:rsidRPr="00AB6AA7">
        <w:rPr>
          <w:rFonts w:ascii="Arial" w:hAnsi="Arial" w:cs="Arial"/>
          <w:sz w:val="20"/>
          <w:szCs w:val="20"/>
          <w:lang w:val="en-GB" w:eastAsia="en-CA"/>
        </w:rPr>
        <w:t xml:space="preserve"> </w:t>
      </w:r>
    </w:p>
    <w:p w14:paraId="5972C686" w14:textId="77777777" w:rsidR="004B09BB" w:rsidRPr="00AB6AA7" w:rsidRDefault="004B09BB" w:rsidP="001D6704">
      <w:pPr>
        <w:rPr>
          <w:rFonts w:ascii="Arial" w:hAnsi="Arial"/>
          <w:sz w:val="20"/>
          <w:szCs w:val="20"/>
          <w:lang w:val="en-GB" w:eastAsia="en-CA"/>
        </w:rPr>
      </w:pPr>
    </w:p>
    <w:p w14:paraId="2336E703" w14:textId="77777777" w:rsidR="004B09BB" w:rsidRPr="00AB6AA7" w:rsidRDefault="004B09BB" w:rsidP="001D6704">
      <w:pPr>
        <w:rPr>
          <w:rFonts w:ascii="Arial" w:hAnsi="Arial"/>
          <w:sz w:val="20"/>
          <w:szCs w:val="20"/>
          <w:lang w:val="en-GB" w:eastAsia="en-CA"/>
        </w:rPr>
      </w:pPr>
      <w:r w:rsidRPr="00AB6AA7">
        <w:rPr>
          <w:rFonts w:ascii="Arial" w:hAnsi="Arial"/>
          <w:sz w:val="20"/>
          <w:szCs w:val="20"/>
          <w:lang w:val="en-GB" w:eastAsia="en-CA"/>
        </w:rPr>
        <w:t>While concentrations found between the WSQG’s Lower &amp; Upper limits are occasionally associated with adverse biological effect, concentrations above the Upper SWQG are described as “frequently associated with adverse biological effects”.</w:t>
      </w:r>
    </w:p>
    <w:p w14:paraId="0C4919E3" w14:textId="77777777" w:rsidR="004B09BB" w:rsidRPr="00AB6AA7" w:rsidRDefault="004B09BB" w:rsidP="001D6704">
      <w:pPr>
        <w:rPr>
          <w:rFonts w:ascii="Arial" w:hAnsi="Arial"/>
          <w:sz w:val="20"/>
          <w:szCs w:val="20"/>
          <w:lang w:val="en-GB" w:eastAsia="en-CA"/>
        </w:rPr>
      </w:pPr>
    </w:p>
    <w:p w14:paraId="6B72CAFD" w14:textId="77777777" w:rsidR="004B09BB" w:rsidRPr="00AB6AA7" w:rsidRDefault="004B09BB" w:rsidP="001D6704">
      <w:pPr>
        <w:rPr>
          <w:rFonts w:ascii="Arial" w:hAnsi="Arial"/>
          <w:sz w:val="20"/>
          <w:szCs w:val="20"/>
          <w:lang w:val="en-GB" w:eastAsia="en-CA"/>
        </w:rPr>
      </w:pPr>
      <w:r w:rsidRPr="00AB6AA7">
        <w:rPr>
          <w:rFonts w:ascii="Arial" w:hAnsi="Arial"/>
          <w:sz w:val="20"/>
          <w:szCs w:val="20"/>
          <w:lang w:val="en-GB" w:eastAsia="en-CA"/>
        </w:rPr>
        <w:t xml:space="preserve">For the year 2014, the National Pollutant Release Inventory (NPRI) reports that the </w:t>
      </w:r>
      <w:r w:rsidRPr="00AB6AA7">
        <w:rPr>
          <w:rFonts w:ascii="Arial" w:hAnsi="Arial"/>
          <w:b/>
          <w:bCs/>
          <w:sz w:val="20"/>
          <w:szCs w:val="20"/>
          <w:lang w:val="en-GB" w:eastAsia="en-CA"/>
        </w:rPr>
        <w:t>Mount Polley Mine represented the largest emitter of multiple pollutants in Canadian waters</w:t>
      </w:r>
      <w:r w:rsidRPr="00AB6AA7">
        <w:rPr>
          <w:rFonts w:ascii="Arial" w:hAnsi="Arial"/>
          <w:sz w:val="20"/>
          <w:szCs w:val="20"/>
          <w:lang w:val="en-GB" w:eastAsia="en-CA"/>
        </w:rPr>
        <w:t xml:space="preserve"> due to the tailings spill, including:</w:t>
      </w:r>
    </w:p>
    <w:p w14:paraId="2DE24E96" w14:textId="77777777" w:rsidR="004B09BB" w:rsidRPr="00AB6AA7" w:rsidRDefault="004B09BB" w:rsidP="001D6704">
      <w:pPr>
        <w:rPr>
          <w:rFonts w:ascii="Arial" w:hAnsi="Arial"/>
          <w:sz w:val="20"/>
          <w:szCs w:val="20"/>
          <w:lang w:val="en-GB" w:eastAsia="en-CA"/>
        </w:rPr>
      </w:pPr>
    </w:p>
    <w:p w14:paraId="5DEDA1F0" w14:textId="2F1BB5A2" w:rsidR="004B09BB" w:rsidRPr="00AB6AA7" w:rsidRDefault="004B09BB" w:rsidP="00A81876">
      <w:pPr>
        <w:pStyle w:val="Paragraphedeliste"/>
        <w:widowControl/>
        <w:numPr>
          <w:ilvl w:val="0"/>
          <w:numId w:val="4"/>
        </w:numPr>
        <w:suppressAutoHyphens w:val="0"/>
        <w:contextualSpacing w:val="0"/>
        <w:rPr>
          <w:rFonts w:ascii="Arial" w:hAnsi="Arial" w:cs="Arial"/>
          <w:sz w:val="20"/>
          <w:szCs w:val="20"/>
          <w:lang w:val="en-GB" w:eastAsia="en-CA"/>
        </w:rPr>
      </w:pPr>
      <w:r w:rsidRPr="00AB6AA7">
        <w:rPr>
          <w:rFonts w:ascii="Arial" w:hAnsi="Arial" w:cs="Arial"/>
          <w:b/>
          <w:bCs/>
          <w:sz w:val="20"/>
          <w:szCs w:val="20"/>
          <w:lang w:val="en-GB" w:eastAsia="en-CA"/>
        </w:rPr>
        <w:t>20</w:t>
      </w:r>
      <w:r w:rsidR="009059F4">
        <w:rPr>
          <w:rFonts w:ascii="Arial" w:hAnsi="Arial" w:cs="Arial"/>
          <w:b/>
          <w:bCs/>
          <w:sz w:val="20"/>
          <w:szCs w:val="20"/>
          <w:lang w:val="en-GB" w:eastAsia="en-CA"/>
        </w:rPr>
        <w:t>,</w:t>
      </w:r>
      <w:r w:rsidRPr="00AB6AA7">
        <w:rPr>
          <w:rFonts w:ascii="Arial" w:hAnsi="Arial" w:cs="Arial"/>
          <w:b/>
          <w:bCs/>
          <w:sz w:val="20"/>
          <w:szCs w:val="20"/>
          <w:lang w:val="en-GB" w:eastAsia="en-CA"/>
        </w:rPr>
        <w:t>724 tonnes</w:t>
      </w:r>
      <w:r w:rsidRPr="00AB6AA7">
        <w:rPr>
          <w:rFonts w:ascii="Arial" w:hAnsi="Arial" w:cs="Arial"/>
          <w:sz w:val="20"/>
          <w:szCs w:val="20"/>
          <w:lang w:val="en-GB" w:eastAsia="en-CA"/>
        </w:rPr>
        <w:t xml:space="preserve"> or </w:t>
      </w:r>
      <w:r w:rsidRPr="00AB6AA7">
        <w:rPr>
          <w:rFonts w:ascii="Arial" w:hAnsi="Arial" w:cs="Arial"/>
          <w:b/>
          <w:bCs/>
          <w:sz w:val="20"/>
          <w:szCs w:val="20"/>
          <w:lang w:val="en-GB" w:eastAsia="en-CA"/>
        </w:rPr>
        <w:t>96</w:t>
      </w:r>
      <w:r w:rsidR="009059F4">
        <w:rPr>
          <w:rFonts w:ascii="Arial" w:hAnsi="Arial" w:cs="Arial"/>
          <w:b/>
          <w:bCs/>
          <w:sz w:val="20"/>
          <w:szCs w:val="20"/>
          <w:lang w:val="en-GB" w:eastAsia="en-CA"/>
        </w:rPr>
        <w:t>.</w:t>
      </w:r>
      <w:r w:rsidRPr="00AB6AA7">
        <w:rPr>
          <w:rFonts w:ascii="Arial" w:hAnsi="Arial" w:cs="Arial"/>
          <w:b/>
          <w:bCs/>
          <w:sz w:val="20"/>
          <w:szCs w:val="20"/>
          <w:lang w:val="en-GB" w:eastAsia="en-CA"/>
        </w:rPr>
        <w:t>6%</w:t>
      </w:r>
      <w:r w:rsidRPr="00AB6AA7">
        <w:rPr>
          <w:rFonts w:ascii="Arial" w:hAnsi="Arial" w:cs="Arial"/>
          <w:sz w:val="20"/>
          <w:szCs w:val="20"/>
          <w:lang w:val="en-GB" w:eastAsia="en-CA"/>
        </w:rPr>
        <w:t xml:space="preserve"> of all the </w:t>
      </w:r>
      <w:r w:rsidRPr="00AB6AA7">
        <w:rPr>
          <w:rFonts w:ascii="Arial" w:hAnsi="Arial" w:cs="Arial"/>
          <w:b/>
          <w:bCs/>
          <w:sz w:val="20"/>
          <w:szCs w:val="20"/>
          <w:lang w:val="en-GB" w:eastAsia="en-CA"/>
        </w:rPr>
        <w:t>copper</w:t>
      </w:r>
      <w:r w:rsidRPr="00AB6AA7">
        <w:rPr>
          <w:rFonts w:ascii="Arial" w:hAnsi="Arial" w:cs="Arial"/>
          <w:sz w:val="20"/>
          <w:szCs w:val="20"/>
          <w:lang w:val="en-GB" w:eastAsia="en-CA"/>
        </w:rPr>
        <w:t xml:space="preserve"> released in Canadian waters in 2014 by 431 facilities; </w:t>
      </w:r>
    </w:p>
    <w:p w14:paraId="006A5F0A" w14:textId="7530C734" w:rsidR="004B09BB" w:rsidRPr="00AB6AA7" w:rsidRDefault="004B09BB" w:rsidP="00A81876">
      <w:pPr>
        <w:pStyle w:val="Paragraphedeliste"/>
        <w:widowControl/>
        <w:numPr>
          <w:ilvl w:val="0"/>
          <w:numId w:val="5"/>
        </w:numPr>
        <w:suppressAutoHyphens w:val="0"/>
        <w:contextualSpacing w:val="0"/>
        <w:rPr>
          <w:rFonts w:ascii="Arial" w:hAnsi="Arial" w:cs="Arial"/>
          <w:sz w:val="20"/>
          <w:szCs w:val="20"/>
          <w:lang w:val="en-GB" w:eastAsia="en-CA"/>
        </w:rPr>
      </w:pPr>
      <w:r w:rsidRPr="00AB6AA7">
        <w:rPr>
          <w:rFonts w:ascii="Arial" w:hAnsi="Arial" w:cs="Arial"/>
          <w:b/>
          <w:bCs/>
          <w:sz w:val="20"/>
          <w:szCs w:val="20"/>
          <w:lang w:val="en-GB" w:eastAsia="en-CA"/>
        </w:rPr>
        <w:t>259</w:t>
      </w:r>
      <w:r w:rsidR="009059F4">
        <w:rPr>
          <w:rFonts w:ascii="Arial" w:hAnsi="Arial" w:cs="Arial"/>
          <w:b/>
          <w:bCs/>
          <w:sz w:val="20"/>
          <w:szCs w:val="20"/>
          <w:lang w:val="en-GB" w:eastAsia="en-CA"/>
        </w:rPr>
        <w:t>.</w:t>
      </w:r>
      <w:r w:rsidRPr="00AB6AA7">
        <w:rPr>
          <w:rFonts w:ascii="Arial" w:hAnsi="Arial" w:cs="Arial"/>
          <w:b/>
          <w:bCs/>
          <w:sz w:val="20"/>
          <w:szCs w:val="20"/>
          <w:lang w:val="en-GB" w:eastAsia="en-CA"/>
        </w:rPr>
        <w:t>1 tonnes</w:t>
      </w:r>
      <w:r w:rsidRPr="00AB6AA7">
        <w:rPr>
          <w:rFonts w:ascii="Arial" w:hAnsi="Arial" w:cs="Arial"/>
          <w:sz w:val="20"/>
          <w:szCs w:val="20"/>
          <w:lang w:val="en-GB" w:eastAsia="en-CA"/>
        </w:rPr>
        <w:t xml:space="preserve"> or </w:t>
      </w:r>
      <w:r w:rsidRPr="00AB6AA7">
        <w:rPr>
          <w:rFonts w:ascii="Arial" w:hAnsi="Arial" w:cs="Arial"/>
          <w:b/>
          <w:bCs/>
          <w:sz w:val="20"/>
          <w:szCs w:val="20"/>
          <w:lang w:val="en-GB" w:eastAsia="en-CA"/>
        </w:rPr>
        <w:t>96</w:t>
      </w:r>
      <w:r w:rsidR="009059F4">
        <w:rPr>
          <w:rFonts w:ascii="Arial" w:hAnsi="Arial" w:cs="Arial"/>
          <w:b/>
          <w:bCs/>
          <w:sz w:val="20"/>
          <w:szCs w:val="20"/>
          <w:lang w:val="en-GB" w:eastAsia="en-CA"/>
        </w:rPr>
        <w:t>.</w:t>
      </w:r>
      <w:r w:rsidRPr="00AB6AA7">
        <w:rPr>
          <w:rFonts w:ascii="Arial" w:hAnsi="Arial" w:cs="Arial"/>
          <w:b/>
          <w:bCs/>
          <w:sz w:val="20"/>
          <w:szCs w:val="20"/>
          <w:lang w:val="en-GB" w:eastAsia="en-CA"/>
        </w:rPr>
        <w:t>1%</w:t>
      </w:r>
      <w:r w:rsidRPr="00AB6AA7">
        <w:rPr>
          <w:rFonts w:ascii="Arial" w:hAnsi="Arial" w:cs="Arial"/>
          <w:sz w:val="20"/>
          <w:szCs w:val="20"/>
          <w:lang w:val="en-GB" w:eastAsia="en-CA"/>
        </w:rPr>
        <w:t xml:space="preserve"> of all the </w:t>
      </w:r>
      <w:r w:rsidRPr="00AB6AA7">
        <w:rPr>
          <w:rFonts w:ascii="Arial" w:hAnsi="Arial" w:cs="Arial"/>
          <w:b/>
          <w:bCs/>
          <w:sz w:val="20"/>
          <w:szCs w:val="20"/>
          <w:lang w:val="en-GB" w:eastAsia="en-CA"/>
        </w:rPr>
        <w:t>arsenic</w:t>
      </w:r>
      <w:r w:rsidRPr="00AB6AA7">
        <w:rPr>
          <w:rFonts w:ascii="Arial" w:hAnsi="Arial" w:cs="Arial"/>
          <w:sz w:val="20"/>
          <w:szCs w:val="20"/>
          <w:lang w:val="en-GB" w:eastAsia="en-CA"/>
        </w:rPr>
        <w:t xml:space="preserve"> released in Canadian waters in 2014 by 296 facilities;</w:t>
      </w:r>
    </w:p>
    <w:p w14:paraId="0BCCB6DD" w14:textId="07BDBF79" w:rsidR="004B09BB" w:rsidRPr="00AB6AA7" w:rsidRDefault="004B09BB" w:rsidP="00A81876">
      <w:pPr>
        <w:pStyle w:val="Paragraphedeliste"/>
        <w:widowControl/>
        <w:numPr>
          <w:ilvl w:val="0"/>
          <w:numId w:val="5"/>
        </w:numPr>
        <w:suppressAutoHyphens w:val="0"/>
        <w:contextualSpacing w:val="0"/>
        <w:rPr>
          <w:rFonts w:ascii="Arial" w:hAnsi="Arial" w:cs="Arial"/>
          <w:sz w:val="20"/>
          <w:szCs w:val="20"/>
          <w:lang w:val="en-GB" w:eastAsia="en-CA"/>
        </w:rPr>
      </w:pPr>
      <w:r w:rsidRPr="00AB6AA7">
        <w:rPr>
          <w:rFonts w:ascii="Arial" w:hAnsi="Arial" w:cs="Arial"/>
          <w:b/>
          <w:bCs/>
          <w:sz w:val="20"/>
          <w:szCs w:val="20"/>
          <w:lang w:val="en-GB" w:eastAsia="en-CA"/>
        </w:rPr>
        <w:t>14</w:t>
      </w:r>
      <w:r w:rsidR="009059F4">
        <w:rPr>
          <w:rFonts w:ascii="Arial" w:hAnsi="Arial" w:cs="Arial"/>
          <w:b/>
          <w:bCs/>
          <w:sz w:val="20"/>
          <w:szCs w:val="20"/>
          <w:lang w:val="en-GB" w:eastAsia="en-CA"/>
        </w:rPr>
        <w:t>,</w:t>
      </w:r>
      <w:r w:rsidRPr="00AB6AA7">
        <w:rPr>
          <w:rFonts w:ascii="Arial" w:hAnsi="Arial" w:cs="Arial"/>
          <w:b/>
          <w:bCs/>
          <w:sz w:val="20"/>
          <w:szCs w:val="20"/>
          <w:lang w:val="en-GB" w:eastAsia="en-CA"/>
        </w:rPr>
        <w:t>842 tonnes</w:t>
      </w:r>
      <w:r w:rsidRPr="00AB6AA7">
        <w:rPr>
          <w:rFonts w:ascii="Arial" w:hAnsi="Arial" w:cs="Arial"/>
          <w:sz w:val="20"/>
          <w:szCs w:val="20"/>
          <w:lang w:val="en-GB" w:eastAsia="en-CA"/>
        </w:rPr>
        <w:t xml:space="preserve"> or </w:t>
      </w:r>
      <w:r w:rsidRPr="00AB6AA7">
        <w:rPr>
          <w:rFonts w:ascii="Arial" w:hAnsi="Arial" w:cs="Arial"/>
          <w:b/>
          <w:bCs/>
          <w:sz w:val="20"/>
          <w:szCs w:val="20"/>
          <w:lang w:val="en-GB" w:eastAsia="en-CA"/>
        </w:rPr>
        <w:t>92</w:t>
      </w:r>
      <w:r w:rsidR="009059F4">
        <w:rPr>
          <w:rFonts w:ascii="Arial" w:hAnsi="Arial" w:cs="Arial"/>
          <w:b/>
          <w:bCs/>
          <w:sz w:val="20"/>
          <w:szCs w:val="20"/>
          <w:lang w:val="en-GB" w:eastAsia="en-CA"/>
        </w:rPr>
        <w:t>.</w:t>
      </w:r>
      <w:r w:rsidRPr="00AB6AA7">
        <w:rPr>
          <w:rFonts w:ascii="Arial" w:hAnsi="Arial" w:cs="Arial"/>
          <w:b/>
          <w:bCs/>
          <w:sz w:val="20"/>
          <w:szCs w:val="20"/>
          <w:lang w:val="en-GB" w:eastAsia="en-CA"/>
        </w:rPr>
        <w:t>0%</w:t>
      </w:r>
      <w:r w:rsidRPr="00AB6AA7">
        <w:rPr>
          <w:rFonts w:ascii="Arial" w:hAnsi="Arial" w:cs="Arial"/>
          <w:sz w:val="20"/>
          <w:szCs w:val="20"/>
          <w:lang w:val="en-GB" w:eastAsia="en-CA"/>
        </w:rPr>
        <w:t xml:space="preserve"> of all the </w:t>
      </w:r>
      <w:r w:rsidRPr="00AB6AA7">
        <w:rPr>
          <w:rFonts w:ascii="Arial" w:hAnsi="Arial" w:cs="Arial"/>
          <w:b/>
          <w:bCs/>
          <w:sz w:val="20"/>
          <w:szCs w:val="20"/>
          <w:lang w:val="en-GB" w:eastAsia="en-CA"/>
        </w:rPr>
        <w:t>manganese</w:t>
      </w:r>
      <w:r w:rsidRPr="00AB6AA7">
        <w:rPr>
          <w:rFonts w:ascii="Arial" w:hAnsi="Arial" w:cs="Arial"/>
          <w:sz w:val="20"/>
          <w:szCs w:val="20"/>
          <w:lang w:val="en-GB" w:eastAsia="en-CA"/>
        </w:rPr>
        <w:t xml:space="preserve"> released in Canadian waters in 2014 by 496 facilities;</w:t>
      </w:r>
    </w:p>
    <w:p w14:paraId="478FE08D" w14:textId="77777777" w:rsidR="004B09BB" w:rsidRPr="00AB6AA7" w:rsidRDefault="004B09BB" w:rsidP="001D6704">
      <w:pPr>
        <w:rPr>
          <w:rFonts w:ascii="Arial" w:hAnsi="Arial"/>
          <w:sz w:val="20"/>
          <w:szCs w:val="20"/>
          <w:lang w:val="en-GB" w:eastAsia="en-CA"/>
        </w:rPr>
      </w:pPr>
    </w:p>
    <w:p w14:paraId="75A66343" w14:textId="546161F8" w:rsidR="004B09BB" w:rsidRPr="00AB6AA7" w:rsidRDefault="004B09BB" w:rsidP="001D6704">
      <w:pPr>
        <w:rPr>
          <w:rFonts w:ascii="Arial" w:hAnsi="Arial"/>
          <w:sz w:val="20"/>
          <w:szCs w:val="20"/>
          <w:lang w:val="en-GB" w:eastAsia="en-CA"/>
        </w:rPr>
      </w:pPr>
      <w:r w:rsidRPr="00AB6AA7">
        <w:rPr>
          <w:rFonts w:ascii="Arial" w:hAnsi="Arial"/>
          <w:sz w:val="20"/>
          <w:szCs w:val="20"/>
          <w:lang w:val="en-GB" w:eastAsia="en-CA"/>
        </w:rPr>
        <w:t xml:space="preserve">According to the NPRI data, the Mount Polley spill contributed to a </w:t>
      </w:r>
      <w:r w:rsidRPr="00AB6AA7">
        <w:rPr>
          <w:rFonts w:ascii="Arial" w:hAnsi="Arial"/>
          <w:b/>
          <w:bCs/>
          <w:sz w:val="20"/>
          <w:szCs w:val="20"/>
          <w:lang w:val="en-GB" w:eastAsia="en-CA"/>
        </w:rPr>
        <w:t>1</w:t>
      </w:r>
      <w:r w:rsidR="009059F4">
        <w:rPr>
          <w:rFonts w:ascii="Arial" w:hAnsi="Arial"/>
          <w:b/>
          <w:bCs/>
          <w:sz w:val="20"/>
          <w:szCs w:val="20"/>
          <w:lang w:val="en-GB" w:eastAsia="en-CA"/>
        </w:rPr>
        <w:t>,</w:t>
      </w:r>
      <w:r w:rsidRPr="00AB6AA7">
        <w:rPr>
          <w:rFonts w:ascii="Arial" w:hAnsi="Arial"/>
          <w:b/>
          <w:bCs/>
          <w:sz w:val="20"/>
          <w:szCs w:val="20"/>
          <w:lang w:val="en-GB" w:eastAsia="en-CA"/>
        </w:rPr>
        <w:t>051%, 2</w:t>
      </w:r>
      <w:r w:rsidR="009059F4">
        <w:rPr>
          <w:rFonts w:ascii="Arial" w:hAnsi="Arial"/>
          <w:b/>
          <w:bCs/>
          <w:sz w:val="20"/>
          <w:szCs w:val="20"/>
          <w:lang w:val="en-GB" w:eastAsia="en-CA"/>
        </w:rPr>
        <w:t>,</w:t>
      </w:r>
      <w:r w:rsidRPr="00AB6AA7">
        <w:rPr>
          <w:rFonts w:ascii="Arial" w:hAnsi="Arial"/>
          <w:b/>
          <w:bCs/>
          <w:sz w:val="20"/>
          <w:szCs w:val="20"/>
          <w:lang w:val="en-GB" w:eastAsia="en-CA"/>
        </w:rPr>
        <w:t>285%,</w:t>
      </w:r>
      <w:r w:rsidRPr="00AB6AA7">
        <w:rPr>
          <w:rFonts w:ascii="Arial" w:hAnsi="Arial"/>
          <w:sz w:val="20"/>
          <w:szCs w:val="20"/>
          <w:lang w:val="en-GB" w:eastAsia="en-CA"/>
        </w:rPr>
        <w:t xml:space="preserve"> and </w:t>
      </w:r>
      <w:r w:rsidRPr="00AB6AA7">
        <w:rPr>
          <w:rFonts w:ascii="Arial" w:hAnsi="Arial"/>
          <w:b/>
          <w:bCs/>
          <w:sz w:val="20"/>
          <w:szCs w:val="20"/>
          <w:lang w:val="en-GB" w:eastAsia="en-CA"/>
        </w:rPr>
        <w:t>35</w:t>
      </w:r>
      <w:r w:rsidR="009059F4">
        <w:rPr>
          <w:rFonts w:ascii="Arial" w:hAnsi="Arial"/>
          <w:b/>
          <w:bCs/>
          <w:sz w:val="20"/>
          <w:szCs w:val="20"/>
          <w:lang w:val="en-GB" w:eastAsia="en-CA"/>
        </w:rPr>
        <w:t>,</w:t>
      </w:r>
      <w:r w:rsidRPr="00AB6AA7">
        <w:rPr>
          <w:rFonts w:ascii="Arial" w:hAnsi="Arial"/>
          <w:b/>
          <w:bCs/>
          <w:sz w:val="20"/>
          <w:szCs w:val="20"/>
          <w:lang w:val="en-GB" w:eastAsia="en-CA"/>
        </w:rPr>
        <w:t>657%</w:t>
      </w:r>
      <w:r w:rsidRPr="00AB6AA7">
        <w:rPr>
          <w:rFonts w:ascii="Arial" w:hAnsi="Arial"/>
          <w:sz w:val="20"/>
          <w:szCs w:val="20"/>
          <w:lang w:val="en-GB" w:eastAsia="en-CA"/>
        </w:rPr>
        <w:t xml:space="preserve"> </w:t>
      </w:r>
      <w:r w:rsidRPr="00AB6AA7">
        <w:rPr>
          <w:rFonts w:ascii="Arial" w:hAnsi="Arial"/>
          <w:b/>
          <w:bCs/>
          <w:sz w:val="20"/>
          <w:szCs w:val="20"/>
          <w:lang w:val="en-GB" w:eastAsia="en-CA"/>
        </w:rPr>
        <w:t>increases in pollutant levels</w:t>
      </w:r>
      <w:r w:rsidRPr="00AB6AA7">
        <w:rPr>
          <w:rFonts w:ascii="Arial" w:hAnsi="Arial"/>
          <w:sz w:val="20"/>
          <w:szCs w:val="20"/>
          <w:lang w:val="en-GB" w:eastAsia="en-CA"/>
        </w:rPr>
        <w:t xml:space="preserve"> released into Canadian waters in 2014 when compared to 2013, respectively for </w:t>
      </w:r>
      <w:r w:rsidRPr="00AB6AA7">
        <w:rPr>
          <w:rFonts w:ascii="Arial" w:hAnsi="Arial"/>
          <w:b/>
          <w:bCs/>
          <w:sz w:val="20"/>
          <w:szCs w:val="20"/>
          <w:lang w:val="en-GB" w:eastAsia="en-CA"/>
        </w:rPr>
        <w:t>manganese, arsenic and copper</w:t>
      </w:r>
      <w:r w:rsidR="001D6704" w:rsidRPr="00AB6AA7">
        <w:rPr>
          <w:rFonts w:ascii="Arial" w:hAnsi="Arial"/>
          <w:sz w:val="20"/>
          <w:szCs w:val="20"/>
          <w:lang w:val="en-GB" w:eastAsia="en-CA"/>
        </w:rPr>
        <w:t>. Data for iron was</w:t>
      </w:r>
      <w:r w:rsidRPr="00AB6AA7">
        <w:rPr>
          <w:rFonts w:ascii="Arial" w:hAnsi="Arial"/>
          <w:sz w:val="20"/>
          <w:szCs w:val="20"/>
          <w:lang w:val="en-GB" w:eastAsia="en-CA"/>
        </w:rPr>
        <w:t xml:space="preserve"> not available on NPRI.</w:t>
      </w:r>
      <w:r w:rsidR="009059F4">
        <w:rPr>
          <w:rFonts w:ascii="Arial" w:hAnsi="Arial"/>
          <w:sz w:val="20"/>
          <w:szCs w:val="20"/>
          <w:lang w:val="en-GB" w:eastAsia="en-CA"/>
        </w:rPr>
        <w:t xml:space="preserve"> </w:t>
      </w:r>
    </w:p>
    <w:p w14:paraId="0B3B085D" w14:textId="77777777" w:rsidR="004B09BB" w:rsidRPr="00AB6AA7" w:rsidRDefault="004B09BB" w:rsidP="001D6704">
      <w:pPr>
        <w:rPr>
          <w:rFonts w:ascii="Arial" w:hAnsi="Arial"/>
          <w:sz w:val="20"/>
          <w:szCs w:val="20"/>
          <w:lang w:val="en-GB"/>
        </w:rPr>
      </w:pPr>
    </w:p>
    <w:p w14:paraId="72BC978C" w14:textId="77777777" w:rsidR="004B09BB" w:rsidRPr="00AB6AA7" w:rsidRDefault="004B09BB" w:rsidP="001D6704">
      <w:pPr>
        <w:rPr>
          <w:rFonts w:ascii="Arial" w:hAnsi="Arial"/>
          <w:sz w:val="20"/>
          <w:szCs w:val="20"/>
          <w:lang w:val="en-GB" w:eastAsia="en-US"/>
        </w:rPr>
      </w:pPr>
    </w:p>
    <w:p w14:paraId="480EC5CD" w14:textId="36F8529E" w:rsidR="004B09BB" w:rsidRPr="00AB6AA7" w:rsidRDefault="004B09BB" w:rsidP="0044737B">
      <w:pPr>
        <w:pStyle w:val="Titre2"/>
        <w:rPr>
          <w:lang w:val="en-GB"/>
        </w:rPr>
      </w:pPr>
      <w:bookmarkStart w:id="8" w:name="_Toc464474240"/>
      <w:r w:rsidRPr="00AB6AA7">
        <w:rPr>
          <w:lang w:val="en-GB"/>
        </w:rPr>
        <w:t>4. Section 78.6 Fisheries Act: ‘</w:t>
      </w:r>
      <w:r w:rsidR="009059F4" w:rsidRPr="00AB6AA7">
        <w:rPr>
          <w:lang w:val="en-GB"/>
        </w:rPr>
        <w:t>Defen</w:t>
      </w:r>
      <w:r w:rsidR="009059F4">
        <w:rPr>
          <w:lang w:val="en-GB"/>
        </w:rPr>
        <w:t>c</w:t>
      </w:r>
      <w:r w:rsidR="009059F4" w:rsidRPr="00AB6AA7">
        <w:rPr>
          <w:lang w:val="en-GB"/>
        </w:rPr>
        <w:t xml:space="preserve">e </w:t>
      </w:r>
      <w:r w:rsidRPr="00AB6AA7">
        <w:rPr>
          <w:lang w:val="en-GB"/>
        </w:rPr>
        <w:t>of Due Diligence’?</w:t>
      </w:r>
      <w:bookmarkEnd w:id="8"/>
    </w:p>
    <w:p w14:paraId="79C731B2" w14:textId="77777777" w:rsidR="00EF58BF" w:rsidRPr="00AB6AA7" w:rsidRDefault="00EF58BF" w:rsidP="00EF58BF">
      <w:pPr>
        <w:rPr>
          <w:rFonts w:ascii="Arial" w:hAnsi="Arial"/>
          <w:sz w:val="20"/>
          <w:szCs w:val="20"/>
          <w:lang w:val="en-GB"/>
        </w:rPr>
      </w:pPr>
    </w:p>
    <w:p w14:paraId="69CA6CE7" w14:textId="77777777" w:rsidR="002E03EE" w:rsidRPr="00AB6AA7" w:rsidRDefault="00EF58BF" w:rsidP="00EF58BF">
      <w:pPr>
        <w:rPr>
          <w:rFonts w:ascii="Arial" w:hAnsi="Arial"/>
          <w:sz w:val="20"/>
          <w:szCs w:val="20"/>
          <w:lang w:val="en-GB"/>
        </w:rPr>
      </w:pPr>
      <w:r w:rsidRPr="00AB6AA7">
        <w:rPr>
          <w:rFonts w:ascii="Arial" w:hAnsi="Arial"/>
          <w:sz w:val="20"/>
          <w:szCs w:val="20"/>
          <w:lang w:val="en-GB"/>
        </w:rPr>
        <w:t xml:space="preserve">Sections 35(1) and 36(3) of the Fisheries Act are “strict liability” offences. This means that the prosecution does not need to show </w:t>
      </w:r>
      <w:r w:rsidRPr="00AB6AA7">
        <w:rPr>
          <w:rFonts w:ascii="Arial" w:hAnsi="Arial"/>
          <w:i/>
          <w:sz w:val="20"/>
          <w:szCs w:val="20"/>
          <w:lang w:val="en-GB"/>
        </w:rPr>
        <w:t>mens rea</w:t>
      </w:r>
      <w:r w:rsidRPr="00AB6AA7">
        <w:rPr>
          <w:rFonts w:ascii="Arial" w:hAnsi="Arial"/>
          <w:sz w:val="20"/>
          <w:szCs w:val="20"/>
          <w:lang w:val="en-GB"/>
        </w:rPr>
        <w:t>, or that the accused intentionally or knowingly committed the offence, but only that the accused did the prohib</w:t>
      </w:r>
      <w:r w:rsidR="002E03EE" w:rsidRPr="00AB6AA7">
        <w:rPr>
          <w:rFonts w:ascii="Arial" w:hAnsi="Arial"/>
          <w:sz w:val="20"/>
          <w:szCs w:val="20"/>
          <w:lang w:val="en-GB"/>
        </w:rPr>
        <w:t xml:space="preserve">ited act. </w:t>
      </w:r>
    </w:p>
    <w:p w14:paraId="15C0C1D9" w14:textId="77777777" w:rsidR="002E03EE" w:rsidRPr="00AB6AA7" w:rsidRDefault="002E03EE" w:rsidP="00EF58BF">
      <w:pPr>
        <w:rPr>
          <w:rFonts w:ascii="Arial" w:hAnsi="Arial"/>
          <w:sz w:val="20"/>
          <w:szCs w:val="20"/>
          <w:lang w:val="en-GB"/>
        </w:rPr>
      </w:pPr>
    </w:p>
    <w:p w14:paraId="1ED952D6" w14:textId="77777777" w:rsidR="00EF58BF" w:rsidRPr="00AB6AA7" w:rsidRDefault="00EF58BF" w:rsidP="00EF58BF">
      <w:pPr>
        <w:rPr>
          <w:rFonts w:ascii="Arial" w:hAnsi="Arial"/>
          <w:sz w:val="20"/>
          <w:szCs w:val="20"/>
          <w:lang w:val="en-GB"/>
        </w:rPr>
      </w:pPr>
      <w:r w:rsidRPr="00AB6AA7">
        <w:rPr>
          <w:rFonts w:ascii="Arial" w:hAnsi="Arial"/>
          <w:sz w:val="20"/>
          <w:szCs w:val="20"/>
          <w:lang w:val="en-GB"/>
        </w:rPr>
        <w:t>Once this is shown, the burden shifts to the accused to show on a balance of probabilities that he or she was not at fault, that he or she took all reasonable care to avoid committing the offence, or that he or she reasonably believed in the existence of facts that, if true, would render his or her conduct innocent.</w:t>
      </w:r>
      <w:r w:rsidR="002E03EE" w:rsidRPr="00AB6AA7">
        <w:rPr>
          <w:rFonts w:ascii="Arial" w:hAnsi="Arial"/>
          <w:sz w:val="20"/>
          <w:szCs w:val="20"/>
          <w:lang w:val="en-GB"/>
        </w:rPr>
        <w:t xml:space="preserve"> </w:t>
      </w:r>
      <w:r w:rsidRPr="00AB6AA7">
        <w:rPr>
          <w:rFonts w:ascii="Arial" w:hAnsi="Arial"/>
          <w:sz w:val="20"/>
          <w:szCs w:val="20"/>
          <w:lang w:val="en-GB"/>
        </w:rPr>
        <w:t>This is known as the defence of “due diligence” as set in section 78.6 of the Fisheries Act.</w:t>
      </w:r>
    </w:p>
    <w:p w14:paraId="124BADA4" w14:textId="77777777" w:rsidR="00EF58BF" w:rsidRPr="00AB6AA7" w:rsidRDefault="00EF58BF" w:rsidP="00EF58BF">
      <w:pPr>
        <w:rPr>
          <w:rFonts w:ascii="Arial" w:hAnsi="Arial"/>
          <w:sz w:val="20"/>
          <w:szCs w:val="20"/>
          <w:lang w:val="en-GB"/>
        </w:rPr>
      </w:pPr>
    </w:p>
    <w:p w14:paraId="7C513482" w14:textId="77777777" w:rsidR="0044737B" w:rsidRPr="00AB6AA7" w:rsidRDefault="0044737B" w:rsidP="00EF58BF">
      <w:pPr>
        <w:rPr>
          <w:rFonts w:ascii="Arial" w:hAnsi="Arial"/>
          <w:sz w:val="20"/>
          <w:szCs w:val="20"/>
          <w:lang w:val="en-GB"/>
        </w:rPr>
      </w:pPr>
    </w:p>
    <w:p w14:paraId="52584773" w14:textId="77777777" w:rsidR="00EF58BF" w:rsidRPr="00AB6AA7" w:rsidRDefault="002E03EE" w:rsidP="00EF58BF">
      <w:pPr>
        <w:rPr>
          <w:rFonts w:ascii="Arial" w:hAnsi="Arial"/>
          <w:b/>
          <w:sz w:val="20"/>
          <w:szCs w:val="20"/>
          <w:lang w:val="en-GB"/>
        </w:rPr>
      </w:pPr>
      <w:r w:rsidRPr="00AB6AA7">
        <w:rPr>
          <w:rFonts w:ascii="Arial" w:hAnsi="Arial"/>
          <w:b/>
          <w:sz w:val="20"/>
          <w:szCs w:val="20"/>
          <w:lang w:val="en-GB"/>
        </w:rPr>
        <w:t>4.1</w:t>
      </w:r>
      <w:r w:rsidR="00EF58BF" w:rsidRPr="00AB6AA7">
        <w:rPr>
          <w:rFonts w:ascii="Arial" w:hAnsi="Arial"/>
          <w:b/>
          <w:sz w:val="20"/>
          <w:szCs w:val="20"/>
          <w:lang w:val="en-GB"/>
        </w:rPr>
        <w:t xml:space="preserve"> Did MPMC Exercise All Due Diligence to Prevent the Mount Polley Spill?</w:t>
      </w:r>
    </w:p>
    <w:p w14:paraId="1FB9FA18" w14:textId="77777777" w:rsidR="002E03EE" w:rsidRPr="00AB6AA7" w:rsidRDefault="002E03EE" w:rsidP="002E03EE">
      <w:pPr>
        <w:rPr>
          <w:rFonts w:ascii="Arial" w:hAnsi="Arial"/>
          <w:sz w:val="20"/>
          <w:szCs w:val="20"/>
          <w:lang w:val="en-GB"/>
        </w:rPr>
      </w:pPr>
    </w:p>
    <w:p w14:paraId="3CBC331A" w14:textId="77777777" w:rsidR="004028AC" w:rsidRPr="00AB6AA7" w:rsidRDefault="00EF58BF" w:rsidP="004028AC">
      <w:pPr>
        <w:rPr>
          <w:rFonts w:ascii="Arial" w:hAnsi="Arial"/>
          <w:sz w:val="20"/>
          <w:szCs w:val="20"/>
          <w:lang w:val="en-GB"/>
        </w:rPr>
      </w:pPr>
      <w:r w:rsidRPr="00AB6AA7">
        <w:rPr>
          <w:rFonts w:ascii="Arial" w:hAnsi="Arial"/>
          <w:sz w:val="20"/>
          <w:szCs w:val="20"/>
          <w:lang w:val="en-GB"/>
        </w:rPr>
        <w:t>The Chief Inspector</w:t>
      </w:r>
      <w:r w:rsidR="00D42855" w:rsidRPr="00AB6AA7">
        <w:rPr>
          <w:rFonts w:ascii="Arial" w:hAnsi="Arial"/>
          <w:sz w:val="20"/>
          <w:szCs w:val="20"/>
          <w:lang w:val="en-GB"/>
        </w:rPr>
        <w:t xml:space="preserve"> of Mines'</w:t>
      </w:r>
      <w:r w:rsidRPr="00AB6AA7">
        <w:rPr>
          <w:rFonts w:ascii="Arial" w:hAnsi="Arial"/>
          <w:sz w:val="20"/>
          <w:szCs w:val="20"/>
          <w:lang w:val="en-GB"/>
        </w:rPr>
        <w:t xml:space="preserve"> </w:t>
      </w:r>
      <w:r w:rsidR="004028AC" w:rsidRPr="00AB6AA7">
        <w:rPr>
          <w:rFonts w:ascii="Arial" w:hAnsi="Arial"/>
          <w:sz w:val="20"/>
          <w:szCs w:val="20"/>
          <w:lang w:val="en-GB"/>
        </w:rPr>
        <w:t xml:space="preserve">(CIM) </w:t>
      </w:r>
      <w:r w:rsidRPr="00AB6AA7">
        <w:rPr>
          <w:rFonts w:ascii="Arial" w:hAnsi="Arial"/>
          <w:sz w:val="20"/>
          <w:szCs w:val="20"/>
          <w:lang w:val="en-GB"/>
        </w:rPr>
        <w:t xml:space="preserve">report found that many aspects of MPMC's conduct and that of its </w:t>
      </w:r>
      <w:r w:rsidR="009F50D9" w:rsidRPr="00AB6AA7">
        <w:rPr>
          <w:rFonts w:ascii="Arial" w:hAnsi="Arial"/>
          <w:sz w:val="20"/>
          <w:szCs w:val="20"/>
          <w:lang w:val="en-GB"/>
        </w:rPr>
        <w:t>e</w:t>
      </w:r>
      <w:r w:rsidRPr="00AB6AA7">
        <w:rPr>
          <w:rFonts w:ascii="Arial" w:hAnsi="Arial"/>
          <w:sz w:val="20"/>
          <w:szCs w:val="20"/>
          <w:lang w:val="en-GB"/>
        </w:rPr>
        <w:t>ngineering consultants fell below the level of prudent industry norms or best practices.</w:t>
      </w:r>
      <w:r w:rsidR="004028AC" w:rsidRPr="00AB6AA7">
        <w:rPr>
          <w:rFonts w:ascii="Arial" w:hAnsi="Arial"/>
          <w:sz w:val="20"/>
          <w:szCs w:val="20"/>
          <w:lang w:val="en-GB"/>
        </w:rPr>
        <w:t xml:space="preserve"> The CIM carried out a root cause analysis to evaluate the cause of the breach</w:t>
      </w:r>
      <w:r w:rsidR="00014508" w:rsidRPr="00AB6AA7">
        <w:rPr>
          <w:rFonts w:ascii="Arial" w:hAnsi="Arial"/>
          <w:sz w:val="20"/>
          <w:szCs w:val="20"/>
          <w:lang w:val="en-GB"/>
        </w:rPr>
        <w:t xml:space="preserve"> and spill</w:t>
      </w:r>
      <w:r w:rsidR="004028AC" w:rsidRPr="00AB6AA7">
        <w:rPr>
          <w:rFonts w:ascii="Arial" w:hAnsi="Arial"/>
          <w:sz w:val="20"/>
          <w:szCs w:val="20"/>
          <w:lang w:val="en-GB"/>
        </w:rPr>
        <w:t>, and found two direct causes</w:t>
      </w:r>
      <w:r w:rsidR="00014508" w:rsidRPr="00AB6AA7">
        <w:rPr>
          <w:rFonts w:ascii="Arial" w:hAnsi="Arial"/>
          <w:sz w:val="20"/>
          <w:szCs w:val="20"/>
          <w:lang w:val="en-GB"/>
        </w:rPr>
        <w:t xml:space="preserve"> and two proximate causes</w:t>
      </w:r>
      <w:r w:rsidR="000D24FD" w:rsidRPr="00AB6AA7">
        <w:rPr>
          <w:rFonts w:ascii="Arial" w:hAnsi="Arial"/>
          <w:sz w:val="20"/>
          <w:szCs w:val="20"/>
          <w:lang w:val="en-GB"/>
        </w:rPr>
        <w:t>, all of which could have been avoided with proper actions on the part of MPMC:</w:t>
      </w:r>
    </w:p>
    <w:p w14:paraId="1B0131C2" w14:textId="77777777" w:rsidR="004028AC" w:rsidRPr="00AB6AA7" w:rsidRDefault="004028AC" w:rsidP="004028AC">
      <w:pPr>
        <w:rPr>
          <w:rFonts w:ascii="Arial" w:hAnsi="Arial"/>
          <w:sz w:val="20"/>
          <w:szCs w:val="20"/>
          <w:lang w:val="en-GB"/>
        </w:rPr>
      </w:pPr>
    </w:p>
    <w:p w14:paraId="17DE93A1" w14:textId="77777777" w:rsidR="004028AC" w:rsidRPr="00AB6AA7" w:rsidRDefault="00014508" w:rsidP="00A81876">
      <w:pPr>
        <w:pStyle w:val="Corpsdetexte"/>
        <w:numPr>
          <w:ilvl w:val="0"/>
          <w:numId w:val="8"/>
        </w:numPr>
        <w:suppressAutoHyphens w:val="0"/>
        <w:spacing w:after="0"/>
        <w:rPr>
          <w:rFonts w:ascii="Arial" w:hAnsi="Arial"/>
          <w:sz w:val="20"/>
          <w:szCs w:val="20"/>
          <w:lang w:val="en-GB"/>
        </w:rPr>
      </w:pPr>
      <w:r w:rsidRPr="00AB6AA7">
        <w:rPr>
          <w:rFonts w:ascii="Arial" w:hAnsi="Arial"/>
          <w:sz w:val="20"/>
          <w:szCs w:val="20"/>
          <w:lang w:val="en-GB"/>
        </w:rPr>
        <w:t>a</w:t>
      </w:r>
      <w:r w:rsidR="004028AC" w:rsidRPr="00AB6AA7">
        <w:rPr>
          <w:rFonts w:ascii="Arial" w:hAnsi="Arial"/>
          <w:sz w:val="20"/>
          <w:szCs w:val="20"/>
          <w:lang w:val="en-GB"/>
        </w:rPr>
        <w:t xml:space="preserve"> structural failure of the embankment caused by sliding of the dam on a unrecognized clay/silt layer, referred to as the upper glaciolacustrine unit (“UGLU”)</w:t>
      </w:r>
      <w:r w:rsidR="000D24FD" w:rsidRPr="00AB6AA7">
        <w:rPr>
          <w:rFonts w:ascii="Arial" w:hAnsi="Arial"/>
          <w:sz w:val="20"/>
          <w:szCs w:val="20"/>
          <w:lang w:val="en-GB"/>
        </w:rPr>
        <w:t>;</w:t>
      </w:r>
    </w:p>
    <w:p w14:paraId="50D24B26" w14:textId="77777777" w:rsidR="004028AC" w:rsidRPr="00AB6AA7" w:rsidRDefault="004028AC" w:rsidP="00A81876">
      <w:pPr>
        <w:pStyle w:val="Corpsdetexte"/>
        <w:numPr>
          <w:ilvl w:val="0"/>
          <w:numId w:val="8"/>
        </w:numPr>
        <w:suppressAutoHyphens w:val="0"/>
        <w:spacing w:after="0"/>
        <w:rPr>
          <w:rFonts w:ascii="Arial" w:hAnsi="Arial"/>
          <w:sz w:val="20"/>
          <w:szCs w:val="20"/>
          <w:lang w:val="en-GB"/>
        </w:rPr>
      </w:pPr>
      <w:r w:rsidRPr="00AB6AA7">
        <w:rPr>
          <w:rFonts w:ascii="Arial" w:hAnsi="Arial"/>
          <w:sz w:val="20"/>
          <w:szCs w:val="20"/>
          <w:lang w:val="en-GB"/>
        </w:rPr>
        <w:t>insufficient tailings be</w:t>
      </w:r>
      <w:r w:rsidR="00014508" w:rsidRPr="00AB6AA7">
        <w:rPr>
          <w:rFonts w:ascii="Arial" w:hAnsi="Arial"/>
          <w:sz w:val="20"/>
          <w:szCs w:val="20"/>
          <w:lang w:val="en-GB"/>
        </w:rPr>
        <w:t>aches and surplus water in the tailings storage facility (TSF)</w:t>
      </w:r>
      <w:r w:rsidRPr="00AB6AA7">
        <w:rPr>
          <w:rFonts w:ascii="Arial" w:hAnsi="Arial"/>
          <w:sz w:val="20"/>
          <w:szCs w:val="20"/>
          <w:lang w:val="en-GB"/>
        </w:rPr>
        <w:t>.</w:t>
      </w:r>
    </w:p>
    <w:p w14:paraId="2E99CB78" w14:textId="77777777" w:rsidR="00014508" w:rsidRPr="00AB6AA7" w:rsidRDefault="00014508" w:rsidP="00A81876">
      <w:pPr>
        <w:pStyle w:val="Corpsdetexte"/>
        <w:numPr>
          <w:ilvl w:val="0"/>
          <w:numId w:val="8"/>
        </w:numPr>
        <w:suppressAutoHyphens w:val="0"/>
        <w:spacing w:after="0"/>
        <w:rPr>
          <w:rFonts w:ascii="Arial" w:hAnsi="Arial"/>
          <w:sz w:val="20"/>
          <w:szCs w:val="20"/>
          <w:lang w:val="en-GB"/>
        </w:rPr>
      </w:pPr>
      <w:r w:rsidRPr="00AB6AA7">
        <w:rPr>
          <w:rFonts w:ascii="Arial" w:hAnsi="Arial"/>
          <w:sz w:val="20"/>
          <w:szCs w:val="20"/>
          <w:lang w:val="en-GB"/>
        </w:rPr>
        <w:t>an open sub-excavation at the embankment toe; and</w:t>
      </w:r>
    </w:p>
    <w:p w14:paraId="5D1F8C30" w14:textId="77777777" w:rsidR="00014508" w:rsidRPr="00AB6AA7" w:rsidRDefault="00014508" w:rsidP="00A81876">
      <w:pPr>
        <w:pStyle w:val="Corpsdetexte"/>
        <w:numPr>
          <w:ilvl w:val="0"/>
          <w:numId w:val="8"/>
        </w:numPr>
        <w:suppressAutoHyphens w:val="0"/>
        <w:spacing w:after="0"/>
        <w:rPr>
          <w:rFonts w:ascii="Arial" w:hAnsi="Arial"/>
          <w:sz w:val="20"/>
          <w:szCs w:val="20"/>
          <w:lang w:val="en-GB"/>
        </w:rPr>
      </w:pPr>
      <w:r w:rsidRPr="00AB6AA7">
        <w:rPr>
          <w:rFonts w:ascii="Arial" w:hAnsi="Arial"/>
          <w:sz w:val="20"/>
          <w:szCs w:val="20"/>
          <w:lang w:val="en-GB"/>
        </w:rPr>
        <w:t>the geometry of the embankment (too steep / too high).</w:t>
      </w:r>
    </w:p>
    <w:p w14:paraId="1E520639" w14:textId="77777777" w:rsidR="004028AC" w:rsidRPr="00AB6AA7" w:rsidRDefault="004028AC" w:rsidP="004028AC">
      <w:pPr>
        <w:pStyle w:val="Corpsdetexte"/>
        <w:spacing w:after="0"/>
        <w:rPr>
          <w:rFonts w:ascii="Arial" w:hAnsi="Arial"/>
          <w:sz w:val="20"/>
          <w:szCs w:val="20"/>
          <w:lang w:val="en-GB"/>
        </w:rPr>
      </w:pPr>
    </w:p>
    <w:p w14:paraId="4BC58B0E" w14:textId="77777777" w:rsidR="000D24FD" w:rsidRPr="00AB6AA7" w:rsidRDefault="00014508" w:rsidP="004028AC">
      <w:pPr>
        <w:pStyle w:val="Corpsdetexte"/>
        <w:spacing w:after="0"/>
        <w:rPr>
          <w:rFonts w:ascii="Arial" w:hAnsi="Arial"/>
          <w:b/>
          <w:i/>
          <w:sz w:val="20"/>
          <w:szCs w:val="20"/>
          <w:lang w:val="en-GB"/>
        </w:rPr>
      </w:pPr>
      <w:r w:rsidRPr="00AB6AA7">
        <w:rPr>
          <w:rFonts w:ascii="Arial" w:hAnsi="Arial"/>
          <w:b/>
          <w:i/>
          <w:sz w:val="20"/>
          <w:szCs w:val="20"/>
          <w:lang w:val="en-GB"/>
        </w:rPr>
        <w:t>Failure to recognize the clay layer</w:t>
      </w:r>
    </w:p>
    <w:p w14:paraId="74746376" w14:textId="77777777" w:rsidR="000D24FD" w:rsidRPr="00AB6AA7" w:rsidRDefault="000D24FD" w:rsidP="004028AC">
      <w:pPr>
        <w:pStyle w:val="Corpsdetexte"/>
        <w:spacing w:after="0"/>
        <w:rPr>
          <w:rFonts w:ascii="Arial" w:hAnsi="Arial"/>
          <w:b/>
          <w:i/>
          <w:sz w:val="20"/>
          <w:szCs w:val="20"/>
          <w:lang w:val="en-GB"/>
        </w:rPr>
      </w:pPr>
    </w:p>
    <w:p w14:paraId="30189BBB" w14:textId="77777777" w:rsidR="004028AC" w:rsidRPr="00AB6AA7" w:rsidRDefault="004028AC" w:rsidP="004028AC">
      <w:pPr>
        <w:pStyle w:val="Corpsdetexte"/>
        <w:spacing w:after="0"/>
        <w:rPr>
          <w:rFonts w:ascii="Arial" w:hAnsi="Arial"/>
          <w:b/>
          <w:i/>
          <w:sz w:val="20"/>
          <w:szCs w:val="20"/>
          <w:lang w:val="en-GB"/>
        </w:rPr>
      </w:pPr>
      <w:r w:rsidRPr="00AB6AA7">
        <w:rPr>
          <w:rFonts w:ascii="Arial" w:hAnsi="Arial"/>
          <w:sz w:val="20"/>
          <w:szCs w:val="20"/>
          <w:lang w:val="en-GB"/>
        </w:rPr>
        <w:t>The CIM observed that the unrecognized UGLU layer was directly tied to a failure of the MPMC, and/or its consultants, to properly investigate the perimeter embankment foundation soils.</w:t>
      </w:r>
      <w:r w:rsidR="00014508" w:rsidRPr="00AB6AA7">
        <w:rPr>
          <w:rFonts w:ascii="Arial" w:hAnsi="Arial"/>
          <w:sz w:val="20"/>
          <w:szCs w:val="20"/>
          <w:lang w:val="en-GB"/>
        </w:rPr>
        <w:t xml:space="preserve"> I</w:t>
      </w:r>
      <w:r w:rsidRPr="00AB6AA7">
        <w:rPr>
          <w:rFonts w:ascii="Arial" w:hAnsi="Arial"/>
          <w:sz w:val="20"/>
          <w:szCs w:val="20"/>
          <w:lang w:val="en-GB"/>
        </w:rPr>
        <w:t xml:space="preserve">n particular, the CIM noted that: </w:t>
      </w:r>
    </w:p>
    <w:p w14:paraId="3B1B2422" w14:textId="77777777" w:rsidR="00014508" w:rsidRPr="00AB6AA7" w:rsidRDefault="00014508" w:rsidP="004028AC">
      <w:pPr>
        <w:pStyle w:val="Corpsdetexte"/>
        <w:spacing w:after="0"/>
        <w:rPr>
          <w:rFonts w:ascii="Arial" w:hAnsi="Arial"/>
          <w:sz w:val="20"/>
          <w:szCs w:val="20"/>
          <w:lang w:val="en-GB"/>
        </w:rPr>
      </w:pPr>
    </w:p>
    <w:p w14:paraId="1B4605F8" w14:textId="77777777" w:rsidR="004028AC" w:rsidRPr="00AB6AA7" w:rsidRDefault="004028AC" w:rsidP="00A81876">
      <w:pPr>
        <w:pStyle w:val="Corpsdetexte"/>
        <w:numPr>
          <w:ilvl w:val="0"/>
          <w:numId w:val="9"/>
        </w:numPr>
        <w:suppressAutoHyphens w:val="0"/>
        <w:spacing w:after="0"/>
        <w:jc w:val="both"/>
        <w:rPr>
          <w:rFonts w:ascii="Arial" w:hAnsi="Arial"/>
          <w:sz w:val="20"/>
          <w:szCs w:val="20"/>
          <w:lang w:val="en-GB"/>
        </w:rPr>
      </w:pPr>
      <w:r w:rsidRPr="00AB6AA7">
        <w:rPr>
          <w:rFonts w:ascii="Arial" w:hAnsi="Arial"/>
          <w:sz w:val="20"/>
          <w:szCs w:val="20"/>
          <w:lang w:val="en-GB"/>
        </w:rPr>
        <w:t>site investigations did not meet generally accepted standards of practice</w:t>
      </w:r>
      <w:r w:rsidR="00014508" w:rsidRPr="00AB6AA7">
        <w:rPr>
          <w:rFonts w:ascii="Arial" w:hAnsi="Arial"/>
          <w:sz w:val="20"/>
          <w:szCs w:val="20"/>
          <w:lang w:val="en-GB"/>
        </w:rPr>
        <w:t>;</w:t>
      </w:r>
    </w:p>
    <w:p w14:paraId="685FB7DC" w14:textId="77777777" w:rsidR="004028AC" w:rsidRPr="00AB6AA7" w:rsidRDefault="004028AC" w:rsidP="00A81876">
      <w:pPr>
        <w:pStyle w:val="Corpsdetexte"/>
        <w:numPr>
          <w:ilvl w:val="0"/>
          <w:numId w:val="9"/>
        </w:numPr>
        <w:suppressAutoHyphens w:val="0"/>
        <w:spacing w:after="0"/>
        <w:jc w:val="both"/>
        <w:rPr>
          <w:rFonts w:ascii="Arial" w:hAnsi="Arial"/>
          <w:sz w:val="20"/>
          <w:szCs w:val="20"/>
          <w:lang w:val="en-GB"/>
        </w:rPr>
      </w:pPr>
      <w:r w:rsidRPr="00AB6AA7">
        <w:rPr>
          <w:rFonts w:ascii="Arial" w:hAnsi="Arial"/>
          <w:sz w:val="20"/>
          <w:szCs w:val="20"/>
          <w:lang w:val="en-GB"/>
        </w:rPr>
        <w:t>there was a lack of adequate geotechnical characterization of soils at depth;</w:t>
      </w:r>
      <w:r w:rsidR="000D24FD" w:rsidRPr="00AB6AA7">
        <w:rPr>
          <w:rFonts w:ascii="Arial" w:hAnsi="Arial"/>
          <w:sz w:val="20"/>
          <w:szCs w:val="20"/>
          <w:lang w:val="en-GB"/>
        </w:rPr>
        <w:t xml:space="preserve"> </w:t>
      </w:r>
    </w:p>
    <w:p w14:paraId="3B1D58AD" w14:textId="77777777" w:rsidR="000D24FD" w:rsidRPr="00AB6AA7" w:rsidRDefault="004028AC" w:rsidP="00A81876">
      <w:pPr>
        <w:pStyle w:val="Corpsdetexte"/>
        <w:numPr>
          <w:ilvl w:val="0"/>
          <w:numId w:val="9"/>
        </w:numPr>
        <w:suppressAutoHyphens w:val="0"/>
        <w:spacing w:after="0"/>
        <w:jc w:val="both"/>
        <w:rPr>
          <w:rFonts w:ascii="Arial" w:hAnsi="Arial"/>
          <w:sz w:val="20"/>
          <w:szCs w:val="20"/>
          <w:lang w:val="en-GB"/>
        </w:rPr>
      </w:pPr>
      <w:r w:rsidRPr="00AB6AA7">
        <w:rPr>
          <w:rFonts w:ascii="Arial" w:hAnsi="Arial"/>
          <w:sz w:val="20"/>
          <w:szCs w:val="20"/>
          <w:lang w:val="en-GB"/>
        </w:rPr>
        <w:t>there was a failure to review and properly characterize the foundation soils</w:t>
      </w:r>
      <w:r w:rsidR="00014508" w:rsidRPr="00AB6AA7">
        <w:rPr>
          <w:rFonts w:ascii="Arial" w:hAnsi="Arial"/>
          <w:sz w:val="20"/>
          <w:szCs w:val="20"/>
          <w:lang w:val="en-GB"/>
        </w:rPr>
        <w:t>,</w:t>
      </w:r>
      <w:r w:rsidRPr="00AB6AA7">
        <w:rPr>
          <w:rFonts w:ascii="Arial" w:hAnsi="Arial"/>
          <w:sz w:val="20"/>
          <w:szCs w:val="20"/>
          <w:lang w:val="en-GB"/>
        </w:rPr>
        <w:t xml:space="preserve"> even with </w:t>
      </w:r>
      <w:r w:rsidR="000D24FD" w:rsidRPr="00AB6AA7">
        <w:rPr>
          <w:rFonts w:ascii="Arial" w:hAnsi="Arial"/>
          <w:sz w:val="20"/>
          <w:szCs w:val="20"/>
          <w:lang w:val="en-GB"/>
        </w:rPr>
        <w:t>multiple opportunities to do so; and</w:t>
      </w:r>
    </w:p>
    <w:p w14:paraId="6FDFB1F2" w14:textId="77777777" w:rsidR="000D24FD" w:rsidRPr="00AB6AA7" w:rsidRDefault="000D24FD" w:rsidP="000D24FD">
      <w:pPr>
        <w:pStyle w:val="Corpsdetexte"/>
        <w:suppressAutoHyphens w:val="0"/>
        <w:spacing w:after="0"/>
        <w:jc w:val="both"/>
        <w:rPr>
          <w:rFonts w:ascii="Arial" w:hAnsi="Arial"/>
          <w:sz w:val="20"/>
          <w:szCs w:val="20"/>
          <w:lang w:val="en-GB"/>
        </w:rPr>
      </w:pPr>
    </w:p>
    <w:p w14:paraId="73BA8D98" w14:textId="77777777" w:rsidR="00A42DC6" w:rsidRPr="00AB6AA7" w:rsidRDefault="000D24FD" w:rsidP="000D24FD">
      <w:pPr>
        <w:pStyle w:val="Corpsdetexte"/>
        <w:suppressAutoHyphens w:val="0"/>
        <w:spacing w:after="0"/>
        <w:jc w:val="both"/>
        <w:rPr>
          <w:rFonts w:ascii="Arial" w:hAnsi="Arial"/>
          <w:sz w:val="20"/>
          <w:szCs w:val="20"/>
          <w:lang w:val="en-GB"/>
        </w:rPr>
      </w:pPr>
      <w:r w:rsidRPr="00AB6AA7">
        <w:rPr>
          <w:rFonts w:ascii="Arial" w:hAnsi="Arial"/>
          <w:sz w:val="20"/>
          <w:szCs w:val="20"/>
          <w:lang w:val="en-GB"/>
        </w:rPr>
        <w:t>A</w:t>
      </w:r>
      <w:r w:rsidR="004028AC" w:rsidRPr="00AB6AA7">
        <w:rPr>
          <w:rFonts w:ascii="Arial" w:hAnsi="Arial"/>
          <w:sz w:val="20"/>
          <w:szCs w:val="20"/>
          <w:lang w:val="en-GB"/>
        </w:rPr>
        <w:t xml:space="preserve">s a result, neither the potential presence of the UGLU layer, nor its strength, was taken into account in any stability analyses of the dam structure, which led to an intrinsically erroneously calculated factor of </w:t>
      </w:r>
      <w:r w:rsidR="00A42DC6" w:rsidRPr="00AB6AA7">
        <w:rPr>
          <w:rFonts w:ascii="Arial" w:hAnsi="Arial"/>
          <w:sz w:val="20"/>
          <w:szCs w:val="20"/>
          <w:lang w:val="en-GB"/>
        </w:rPr>
        <w:t>safety.</w:t>
      </w:r>
      <w:r w:rsidR="004028AC" w:rsidRPr="00AB6AA7">
        <w:rPr>
          <w:rFonts w:ascii="Arial" w:hAnsi="Arial"/>
          <w:sz w:val="20"/>
          <w:szCs w:val="20"/>
          <w:lang w:val="en-GB"/>
        </w:rPr>
        <w:t xml:space="preserve"> The assumed degree of certainty regarding the stability of the Perimeter Embankment was therefore not supported by a robust understanding of the foundation characteristics</w:t>
      </w:r>
      <w:r w:rsidRPr="00AB6AA7">
        <w:rPr>
          <w:rFonts w:ascii="Arial" w:hAnsi="Arial"/>
          <w:sz w:val="20"/>
          <w:szCs w:val="20"/>
          <w:lang w:val="en-GB"/>
        </w:rPr>
        <w:t>—which was imprudent.</w:t>
      </w:r>
    </w:p>
    <w:p w14:paraId="56D6E3A6" w14:textId="77777777" w:rsidR="00A42DC6" w:rsidRPr="00AB6AA7" w:rsidRDefault="00A42DC6" w:rsidP="004028AC">
      <w:pPr>
        <w:pStyle w:val="Corpsdetexte"/>
        <w:spacing w:after="0"/>
        <w:rPr>
          <w:rFonts w:ascii="Arial" w:hAnsi="Arial"/>
          <w:sz w:val="20"/>
          <w:szCs w:val="20"/>
          <w:lang w:val="en-GB"/>
        </w:rPr>
      </w:pPr>
    </w:p>
    <w:p w14:paraId="0CE832A5" w14:textId="77777777" w:rsidR="00A42DC6" w:rsidRPr="00AB6AA7" w:rsidRDefault="00A42DC6" w:rsidP="004028AC">
      <w:pPr>
        <w:pStyle w:val="Corpsdetexte"/>
        <w:spacing w:after="0"/>
        <w:rPr>
          <w:rFonts w:ascii="Arial" w:hAnsi="Arial"/>
          <w:b/>
          <w:i/>
          <w:sz w:val="20"/>
          <w:szCs w:val="20"/>
          <w:lang w:val="en-GB"/>
        </w:rPr>
      </w:pPr>
      <w:r w:rsidRPr="00AB6AA7">
        <w:rPr>
          <w:rFonts w:ascii="Arial" w:hAnsi="Arial"/>
          <w:b/>
          <w:i/>
          <w:sz w:val="20"/>
          <w:szCs w:val="20"/>
          <w:lang w:val="en-GB"/>
        </w:rPr>
        <w:t>Surplus of water and insufficient beaches</w:t>
      </w:r>
    </w:p>
    <w:p w14:paraId="42EBA787" w14:textId="77777777" w:rsidR="00A42DC6" w:rsidRPr="00AB6AA7" w:rsidRDefault="00A42DC6" w:rsidP="004028AC">
      <w:pPr>
        <w:pStyle w:val="Corpsdetexte"/>
        <w:spacing w:after="0"/>
        <w:rPr>
          <w:rFonts w:ascii="Arial" w:hAnsi="Arial"/>
          <w:sz w:val="20"/>
          <w:szCs w:val="20"/>
          <w:lang w:val="en-GB"/>
        </w:rPr>
      </w:pPr>
    </w:p>
    <w:p w14:paraId="6586B9BC" w14:textId="77777777" w:rsidR="00A42DC6" w:rsidRPr="00AB6AA7" w:rsidRDefault="00A42DC6" w:rsidP="00A42DC6">
      <w:pPr>
        <w:pStyle w:val="Corpsdetexte"/>
        <w:spacing w:after="0"/>
        <w:rPr>
          <w:rFonts w:ascii="Arial" w:hAnsi="Arial"/>
          <w:sz w:val="20"/>
          <w:szCs w:val="20"/>
          <w:lang w:val="en-GB"/>
        </w:rPr>
      </w:pPr>
      <w:r w:rsidRPr="00AB6AA7">
        <w:rPr>
          <w:rFonts w:ascii="Arial" w:hAnsi="Arial"/>
          <w:sz w:val="20"/>
          <w:szCs w:val="20"/>
          <w:lang w:val="en-GB"/>
        </w:rPr>
        <w:t>T</w:t>
      </w:r>
      <w:r w:rsidR="004028AC" w:rsidRPr="00AB6AA7">
        <w:rPr>
          <w:rFonts w:ascii="Arial" w:hAnsi="Arial"/>
          <w:sz w:val="20"/>
          <w:szCs w:val="20"/>
          <w:lang w:val="en-GB"/>
        </w:rPr>
        <w:t xml:space="preserve">he CIM observed that the conditions caused by surplus water in the TSF and insufficient tailings beaches was tied to </w:t>
      </w:r>
      <w:r w:rsidRPr="00AB6AA7">
        <w:rPr>
          <w:rFonts w:ascii="Arial" w:hAnsi="Arial"/>
          <w:sz w:val="20"/>
          <w:szCs w:val="20"/>
          <w:lang w:val="en-GB"/>
        </w:rPr>
        <w:t xml:space="preserve">multiple failures on the part of MPMC to properly predict and manage water </w:t>
      </w:r>
      <w:r w:rsidR="000D24FD" w:rsidRPr="00AB6AA7">
        <w:rPr>
          <w:rFonts w:ascii="Arial" w:hAnsi="Arial"/>
          <w:sz w:val="20"/>
          <w:szCs w:val="20"/>
          <w:lang w:val="en-GB"/>
        </w:rPr>
        <w:t>and tailings disposals</w:t>
      </w:r>
      <w:r w:rsidRPr="00AB6AA7">
        <w:rPr>
          <w:rFonts w:ascii="Arial" w:hAnsi="Arial"/>
          <w:sz w:val="20"/>
          <w:szCs w:val="20"/>
          <w:lang w:val="en-GB"/>
        </w:rPr>
        <w:t>. More specifically</w:t>
      </w:r>
      <w:r w:rsidR="004028AC" w:rsidRPr="00AB6AA7">
        <w:rPr>
          <w:rFonts w:ascii="Arial" w:hAnsi="Arial"/>
          <w:sz w:val="20"/>
          <w:szCs w:val="20"/>
          <w:lang w:val="en-GB"/>
        </w:rPr>
        <w:t>, the CIM observed that:</w:t>
      </w:r>
    </w:p>
    <w:p w14:paraId="7C905D60" w14:textId="77777777" w:rsidR="00A42DC6" w:rsidRPr="00AB6AA7" w:rsidRDefault="00A42DC6" w:rsidP="00A42DC6">
      <w:pPr>
        <w:pStyle w:val="Corpsdetexte"/>
        <w:spacing w:after="0"/>
        <w:rPr>
          <w:rFonts w:ascii="Arial" w:hAnsi="Arial"/>
          <w:sz w:val="20"/>
          <w:szCs w:val="20"/>
          <w:lang w:val="en-GB"/>
        </w:rPr>
      </w:pPr>
    </w:p>
    <w:p w14:paraId="495B2449"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an adequate water management plan did not exist;</w:t>
      </w:r>
    </w:p>
    <w:p w14:paraId="488BDA76"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MPMC failed in its management of the water balance wit</w:t>
      </w:r>
      <w:r w:rsidR="00A42DC6" w:rsidRPr="00AB6AA7">
        <w:rPr>
          <w:rFonts w:ascii="Arial" w:hAnsi="Arial"/>
          <w:sz w:val="20"/>
          <w:szCs w:val="20"/>
          <w:lang w:val="en-GB"/>
        </w:rPr>
        <w:t>h respect to long term planning</w:t>
      </w:r>
      <w:r w:rsidRPr="00AB6AA7">
        <w:rPr>
          <w:rFonts w:ascii="Arial" w:hAnsi="Arial"/>
          <w:sz w:val="20"/>
          <w:szCs w:val="20"/>
          <w:lang w:val="en-GB"/>
        </w:rPr>
        <w:t>;</w:t>
      </w:r>
    </w:p>
    <w:p w14:paraId="3848C7D2"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there was no dam safety manager with the knowledge, skills, and abilities to be accountable for management of the TSF;</w:t>
      </w:r>
    </w:p>
    <w:p w14:paraId="5B268CCB"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 xml:space="preserve">there was no qualified individual responsible for the water balance; </w:t>
      </w:r>
    </w:p>
    <w:p w14:paraId="70F428DA"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MPMC did not adequately characterize the risk of surplus supernatant water, which had been compounding since the Mine reopened in 2005</w:t>
      </w:r>
      <w:r w:rsidR="004329B5" w:rsidRPr="00AB6AA7">
        <w:rPr>
          <w:rFonts w:ascii="Arial" w:hAnsi="Arial"/>
          <w:sz w:val="20"/>
          <w:szCs w:val="20"/>
          <w:lang w:val="en-GB"/>
        </w:rPr>
        <w:t>;</w:t>
      </w:r>
    </w:p>
    <w:p w14:paraId="61D01C9E"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several piezometers were accidentally destroyed during construction, or not functioning</w:t>
      </w:r>
      <w:r w:rsidR="00A42DC6" w:rsidRPr="00AB6AA7">
        <w:rPr>
          <w:rFonts w:ascii="Arial" w:hAnsi="Arial"/>
          <w:sz w:val="20"/>
          <w:szCs w:val="20"/>
          <w:lang w:val="en-GB"/>
        </w:rPr>
        <w:t>;</w:t>
      </w:r>
    </w:p>
    <w:p w14:paraId="07E6C91F" w14:textId="77777777" w:rsidR="004329B5" w:rsidRPr="00AB6AA7" w:rsidRDefault="004329B5"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 xml:space="preserve">despite </w:t>
      </w:r>
      <w:r w:rsidR="004028AC" w:rsidRPr="00AB6AA7">
        <w:rPr>
          <w:rFonts w:ascii="Arial" w:hAnsi="Arial"/>
          <w:sz w:val="20"/>
          <w:szCs w:val="20"/>
          <w:lang w:val="en-GB"/>
        </w:rPr>
        <w:t xml:space="preserve">chronic water surplus being recognized by senior management, </w:t>
      </w:r>
      <w:r w:rsidRPr="00AB6AA7">
        <w:rPr>
          <w:rFonts w:ascii="Arial" w:hAnsi="Arial"/>
          <w:sz w:val="20"/>
          <w:szCs w:val="20"/>
          <w:lang w:val="en-GB"/>
        </w:rPr>
        <w:t xml:space="preserve">there was a lack of action </w:t>
      </w:r>
      <w:r w:rsidR="004028AC" w:rsidRPr="00AB6AA7">
        <w:rPr>
          <w:rFonts w:ascii="Arial" w:hAnsi="Arial"/>
          <w:sz w:val="20"/>
          <w:szCs w:val="20"/>
          <w:lang w:val="en-GB"/>
        </w:rPr>
        <w:t xml:space="preserve">to obtain water treatment infrastructure </w:t>
      </w:r>
      <w:r w:rsidRPr="00AB6AA7">
        <w:rPr>
          <w:rFonts w:ascii="Arial" w:hAnsi="Arial"/>
          <w:sz w:val="20"/>
          <w:szCs w:val="20"/>
          <w:lang w:val="en-GB"/>
        </w:rPr>
        <w:t xml:space="preserve">in a timely manner </w:t>
      </w:r>
      <w:r w:rsidR="004028AC" w:rsidRPr="00AB6AA7">
        <w:rPr>
          <w:rFonts w:ascii="Arial" w:hAnsi="Arial"/>
          <w:sz w:val="20"/>
          <w:szCs w:val="20"/>
          <w:lang w:val="en-GB"/>
        </w:rPr>
        <w:t>to address</w:t>
      </w:r>
      <w:r w:rsidRPr="00AB6AA7">
        <w:rPr>
          <w:rFonts w:ascii="Arial" w:hAnsi="Arial"/>
          <w:sz w:val="20"/>
          <w:szCs w:val="20"/>
          <w:lang w:val="en-GB"/>
        </w:rPr>
        <w:t xml:space="preserve"> the</w:t>
      </w:r>
      <w:r w:rsidR="004028AC" w:rsidRPr="00AB6AA7">
        <w:rPr>
          <w:rFonts w:ascii="Arial" w:hAnsi="Arial"/>
          <w:sz w:val="20"/>
          <w:szCs w:val="20"/>
          <w:lang w:val="en-GB"/>
        </w:rPr>
        <w:t xml:space="preserve"> water surplus</w:t>
      </w:r>
      <w:r w:rsidRPr="00AB6AA7">
        <w:rPr>
          <w:rFonts w:ascii="Arial" w:hAnsi="Arial"/>
          <w:sz w:val="20"/>
          <w:szCs w:val="20"/>
          <w:lang w:val="en-GB"/>
        </w:rPr>
        <w:t>;</w:t>
      </w:r>
    </w:p>
    <w:p w14:paraId="3BBE5712"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As recognized by the MPMC’s consultant, without beaches, the TSF was essentially converted into a water-retaining structure, with characteristics quite dif</w:t>
      </w:r>
      <w:r w:rsidR="004329B5" w:rsidRPr="00AB6AA7">
        <w:rPr>
          <w:rFonts w:ascii="Arial" w:hAnsi="Arial"/>
          <w:sz w:val="20"/>
          <w:szCs w:val="20"/>
          <w:lang w:val="en-GB"/>
        </w:rPr>
        <w:t>ferent from the initial design;</w:t>
      </w:r>
    </w:p>
    <w:p w14:paraId="101F18D8" w14:textId="77777777" w:rsidR="004329B5"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throughout the lifetime of the Mine TSF, design documents called for the establishment and maintenance of beaches along all embankments</w:t>
      </w:r>
      <w:r w:rsidR="004329B5" w:rsidRPr="00AB6AA7">
        <w:rPr>
          <w:rFonts w:ascii="Arial" w:hAnsi="Arial"/>
          <w:sz w:val="20"/>
          <w:szCs w:val="20"/>
          <w:lang w:val="en-GB"/>
        </w:rPr>
        <w:t>—which was not done properly</w:t>
      </w:r>
      <w:r w:rsidRPr="00AB6AA7">
        <w:rPr>
          <w:rFonts w:ascii="Arial" w:hAnsi="Arial"/>
          <w:sz w:val="20"/>
          <w:szCs w:val="20"/>
          <w:lang w:val="en-GB"/>
        </w:rPr>
        <w:t xml:space="preserve">. </w:t>
      </w:r>
    </w:p>
    <w:p w14:paraId="1408DF01" w14:textId="77777777" w:rsidR="004329B5"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MPMC did not have a tailings deposition plan integrated with the water balance</w:t>
      </w:r>
      <w:r w:rsidR="004329B5" w:rsidRPr="00AB6AA7">
        <w:rPr>
          <w:rFonts w:ascii="Arial" w:hAnsi="Arial"/>
          <w:sz w:val="20"/>
          <w:szCs w:val="20"/>
          <w:lang w:val="en-GB"/>
        </w:rPr>
        <w:t xml:space="preserve">, which would </w:t>
      </w:r>
      <w:r w:rsidRPr="00AB6AA7">
        <w:rPr>
          <w:rFonts w:ascii="Arial" w:hAnsi="Arial"/>
          <w:sz w:val="20"/>
          <w:szCs w:val="20"/>
          <w:lang w:val="en-GB"/>
        </w:rPr>
        <w:t>have demonstrated that construction of a beach was not possible as the increasing water inflow volu</w:t>
      </w:r>
      <w:r w:rsidR="004329B5" w:rsidRPr="00AB6AA7">
        <w:rPr>
          <w:rFonts w:ascii="Arial" w:hAnsi="Arial"/>
          <w:sz w:val="20"/>
          <w:szCs w:val="20"/>
          <w:lang w:val="en-GB"/>
        </w:rPr>
        <w:t>mes would continuously “over-ride” the beach;</w:t>
      </w:r>
    </w:p>
    <w:p w14:paraId="335FD63F" w14:textId="77777777" w:rsidR="004329B5"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 xml:space="preserve">the problem with surplus water hampering the ability to maintain tailings beaches began at least as early as 2011, with an even earlier Dam Safety Inspection (in 2010) stipulated that beaches of at least 10 m must be present, and </w:t>
      </w:r>
      <w:r w:rsidR="004329B5" w:rsidRPr="00AB6AA7">
        <w:rPr>
          <w:rFonts w:ascii="Arial" w:hAnsi="Arial"/>
          <w:sz w:val="20"/>
          <w:szCs w:val="20"/>
          <w:lang w:val="en-GB"/>
        </w:rPr>
        <w:t>to be</w:t>
      </w:r>
      <w:r w:rsidRPr="00AB6AA7">
        <w:rPr>
          <w:rFonts w:ascii="Arial" w:hAnsi="Arial"/>
          <w:sz w:val="20"/>
          <w:szCs w:val="20"/>
          <w:lang w:val="en-GB"/>
        </w:rPr>
        <w:t xml:space="preserve"> re-established within two weeks. </w:t>
      </w:r>
    </w:p>
    <w:p w14:paraId="7EAB0128" w14:textId="77777777" w:rsidR="004028AC" w:rsidRPr="00AB6AA7" w:rsidRDefault="004028AC" w:rsidP="00A81876">
      <w:pPr>
        <w:pStyle w:val="Corpsdetexte"/>
        <w:widowControl/>
        <w:numPr>
          <w:ilvl w:val="0"/>
          <w:numId w:val="10"/>
        </w:numPr>
        <w:suppressAutoHyphens w:val="0"/>
        <w:spacing w:after="0"/>
        <w:rPr>
          <w:rFonts w:ascii="Arial" w:hAnsi="Arial"/>
          <w:sz w:val="20"/>
          <w:szCs w:val="20"/>
          <w:lang w:val="en-GB"/>
        </w:rPr>
      </w:pPr>
      <w:r w:rsidRPr="00AB6AA7">
        <w:rPr>
          <w:rFonts w:ascii="Arial" w:hAnsi="Arial"/>
          <w:sz w:val="20"/>
          <w:szCs w:val="20"/>
          <w:lang w:val="en-GB"/>
        </w:rPr>
        <w:t>The requirement to adhere to the mine permit conditions establishing beaches along all embankments was also reiterated by Knight Piesold engineers.</w:t>
      </w:r>
    </w:p>
    <w:p w14:paraId="0158464F" w14:textId="77777777" w:rsidR="004329B5" w:rsidRPr="00AB6AA7" w:rsidRDefault="004329B5" w:rsidP="004329B5">
      <w:pPr>
        <w:pStyle w:val="Corpsdetexte"/>
        <w:suppressAutoHyphens w:val="0"/>
        <w:spacing w:after="0"/>
        <w:ind w:left="720"/>
        <w:rPr>
          <w:rFonts w:ascii="Arial" w:hAnsi="Arial"/>
          <w:sz w:val="20"/>
          <w:szCs w:val="20"/>
          <w:lang w:val="en-GB"/>
        </w:rPr>
      </w:pPr>
    </w:p>
    <w:p w14:paraId="328DF208" w14:textId="77777777" w:rsidR="004329B5" w:rsidRPr="00AB6AA7" w:rsidRDefault="004329B5" w:rsidP="004028AC">
      <w:pPr>
        <w:pStyle w:val="Corpsdetexte"/>
        <w:spacing w:after="0"/>
        <w:rPr>
          <w:rFonts w:ascii="Arial" w:hAnsi="Arial"/>
          <w:b/>
          <w:i/>
          <w:sz w:val="20"/>
          <w:szCs w:val="20"/>
          <w:lang w:val="en-GB"/>
        </w:rPr>
      </w:pPr>
      <w:r w:rsidRPr="00AB6AA7">
        <w:rPr>
          <w:rFonts w:ascii="Arial" w:hAnsi="Arial"/>
          <w:b/>
          <w:i/>
          <w:sz w:val="20"/>
          <w:szCs w:val="20"/>
          <w:lang w:val="en-GB"/>
        </w:rPr>
        <w:t>Open sub-excavation at the embankment toe</w:t>
      </w:r>
    </w:p>
    <w:p w14:paraId="0A8AF2A1" w14:textId="77777777" w:rsidR="004329B5" w:rsidRPr="00AB6AA7" w:rsidRDefault="004329B5" w:rsidP="004028AC">
      <w:pPr>
        <w:pStyle w:val="Corpsdetexte"/>
        <w:spacing w:after="0"/>
        <w:rPr>
          <w:rFonts w:ascii="Arial" w:hAnsi="Arial"/>
          <w:sz w:val="20"/>
          <w:szCs w:val="20"/>
          <w:lang w:val="en-GB"/>
        </w:rPr>
      </w:pPr>
    </w:p>
    <w:p w14:paraId="0F8AC1AD" w14:textId="77777777" w:rsidR="004329B5" w:rsidRPr="00AB6AA7" w:rsidRDefault="004028AC" w:rsidP="004028AC">
      <w:pPr>
        <w:pStyle w:val="Corpsdetexte"/>
        <w:spacing w:after="0"/>
        <w:rPr>
          <w:rFonts w:ascii="Arial" w:hAnsi="Arial"/>
          <w:sz w:val="20"/>
          <w:szCs w:val="20"/>
          <w:lang w:val="en-GB"/>
        </w:rPr>
      </w:pPr>
      <w:r w:rsidRPr="00AB6AA7">
        <w:rPr>
          <w:rFonts w:ascii="Arial" w:hAnsi="Arial"/>
          <w:sz w:val="20"/>
          <w:szCs w:val="20"/>
          <w:lang w:val="en-GB"/>
        </w:rPr>
        <w:t>With regards to the open excavation, the CIM noted</w:t>
      </w:r>
      <w:r w:rsidR="004329B5" w:rsidRPr="00AB6AA7">
        <w:rPr>
          <w:rFonts w:ascii="Arial" w:hAnsi="Arial"/>
          <w:sz w:val="20"/>
          <w:szCs w:val="20"/>
          <w:lang w:val="en-GB"/>
        </w:rPr>
        <w:t>:</w:t>
      </w:r>
    </w:p>
    <w:p w14:paraId="5934C800" w14:textId="77777777" w:rsidR="004329B5" w:rsidRPr="00AB6AA7" w:rsidRDefault="004329B5" w:rsidP="004028AC">
      <w:pPr>
        <w:pStyle w:val="Corpsdetexte"/>
        <w:spacing w:after="0"/>
        <w:rPr>
          <w:rFonts w:ascii="Arial" w:hAnsi="Arial"/>
          <w:sz w:val="20"/>
          <w:szCs w:val="20"/>
          <w:lang w:val="en-GB"/>
        </w:rPr>
      </w:pPr>
    </w:p>
    <w:p w14:paraId="58E98865" w14:textId="77777777" w:rsidR="004329B5" w:rsidRPr="00AB6AA7" w:rsidRDefault="004028AC" w:rsidP="00A81876">
      <w:pPr>
        <w:pStyle w:val="Corpsdetexte"/>
        <w:numPr>
          <w:ilvl w:val="0"/>
          <w:numId w:val="13"/>
        </w:numPr>
        <w:spacing w:after="0"/>
        <w:rPr>
          <w:rFonts w:ascii="Arial" w:hAnsi="Arial"/>
          <w:sz w:val="20"/>
          <w:szCs w:val="20"/>
          <w:lang w:val="en-GB"/>
        </w:rPr>
      </w:pPr>
      <w:r w:rsidRPr="00AB6AA7">
        <w:rPr>
          <w:rFonts w:ascii="Arial" w:hAnsi="Arial"/>
          <w:sz w:val="20"/>
          <w:szCs w:val="20"/>
          <w:lang w:val="en-GB"/>
        </w:rPr>
        <w:t>the absence of construction procedures for the foundation sub-excavation procedure, and general absence of formal application of e</w:t>
      </w:r>
      <w:r w:rsidR="000D24FD" w:rsidRPr="00AB6AA7">
        <w:rPr>
          <w:rFonts w:ascii="Arial" w:hAnsi="Arial"/>
          <w:sz w:val="20"/>
          <w:szCs w:val="20"/>
          <w:lang w:val="en-GB"/>
        </w:rPr>
        <w:t>xisting construction procedures;</w:t>
      </w:r>
    </w:p>
    <w:p w14:paraId="12226B80" w14:textId="77777777" w:rsidR="004028AC" w:rsidRPr="00AB6AA7" w:rsidRDefault="000D24FD" w:rsidP="00A81876">
      <w:pPr>
        <w:pStyle w:val="Corpsdetexte"/>
        <w:numPr>
          <w:ilvl w:val="0"/>
          <w:numId w:val="13"/>
        </w:numPr>
        <w:spacing w:after="0"/>
        <w:rPr>
          <w:rFonts w:ascii="Arial" w:hAnsi="Arial"/>
          <w:sz w:val="20"/>
          <w:szCs w:val="20"/>
          <w:lang w:val="en-GB"/>
        </w:rPr>
      </w:pPr>
      <w:r w:rsidRPr="00AB6AA7">
        <w:rPr>
          <w:rFonts w:ascii="Arial" w:hAnsi="Arial"/>
          <w:sz w:val="20"/>
          <w:szCs w:val="20"/>
          <w:lang w:val="en-GB"/>
        </w:rPr>
        <w:t>t</w:t>
      </w:r>
      <w:r w:rsidR="004028AC" w:rsidRPr="00AB6AA7">
        <w:rPr>
          <w:rFonts w:ascii="Arial" w:hAnsi="Arial"/>
          <w:sz w:val="20"/>
          <w:szCs w:val="20"/>
          <w:lang w:val="en-GB"/>
        </w:rPr>
        <w:t>hese absences, or failure to apply any existing documented guidance,</w:t>
      </w:r>
      <w:r w:rsidRPr="00AB6AA7">
        <w:rPr>
          <w:rFonts w:ascii="Arial" w:hAnsi="Arial"/>
          <w:sz w:val="20"/>
          <w:szCs w:val="20"/>
          <w:lang w:val="en-GB"/>
        </w:rPr>
        <w:t xml:space="preserve"> left </w:t>
      </w:r>
      <w:r w:rsidR="004028AC" w:rsidRPr="00AB6AA7">
        <w:rPr>
          <w:rFonts w:ascii="Arial" w:hAnsi="Arial"/>
          <w:sz w:val="20"/>
          <w:szCs w:val="20"/>
          <w:lang w:val="en-GB"/>
        </w:rPr>
        <w:t xml:space="preserve">the excavation open and untended for eight months, </w:t>
      </w:r>
      <w:r w:rsidRPr="00AB6AA7">
        <w:rPr>
          <w:rFonts w:ascii="Arial" w:hAnsi="Arial"/>
          <w:sz w:val="20"/>
          <w:szCs w:val="20"/>
          <w:lang w:val="en-GB"/>
        </w:rPr>
        <w:t xml:space="preserve">until </w:t>
      </w:r>
      <w:r w:rsidR="004028AC" w:rsidRPr="00AB6AA7">
        <w:rPr>
          <w:rFonts w:ascii="Arial" w:hAnsi="Arial"/>
          <w:sz w:val="20"/>
          <w:szCs w:val="20"/>
          <w:lang w:val="en-GB"/>
        </w:rPr>
        <w:t>the time of the failure and the breach</w:t>
      </w:r>
      <w:r w:rsidRPr="00AB6AA7">
        <w:rPr>
          <w:rFonts w:ascii="Arial" w:hAnsi="Arial"/>
          <w:sz w:val="20"/>
          <w:szCs w:val="20"/>
          <w:lang w:val="en-GB"/>
        </w:rPr>
        <w:t>;</w:t>
      </w:r>
    </w:p>
    <w:p w14:paraId="4D82DB0D" w14:textId="77777777" w:rsidR="004028AC" w:rsidRPr="00AB6AA7" w:rsidRDefault="004028AC" w:rsidP="00A81876">
      <w:pPr>
        <w:pStyle w:val="Corpsdetexte"/>
        <w:widowControl/>
        <w:numPr>
          <w:ilvl w:val="0"/>
          <w:numId w:val="11"/>
        </w:numPr>
        <w:suppressAutoHyphens w:val="0"/>
        <w:spacing w:after="0"/>
        <w:jc w:val="both"/>
        <w:rPr>
          <w:rFonts w:ascii="Arial" w:hAnsi="Arial"/>
          <w:sz w:val="20"/>
          <w:szCs w:val="20"/>
          <w:lang w:val="en-GB"/>
        </w:rPr>
      </w:pPr>
      <w:r w:rsidRPr="00AB6AA7">
        <w:rPr>
          <w:rFonts w:ascii="Arial" w:hAnsi="Arial"/>
          <w:sz w:val="20"/>
          <w:szCs w:val="20"/>
          <w:lang w:val="en-GB"/>
        </w:rPr>
        <w:t xml:space="preserve">MPMC did not provide the Ministry with notification of the buttress sub-excavation or submit an application for a </w:t>
      </w:r>
      <w:r w:rsidRPr="00AB6AA7">
        <w:rPr>
          <w:rFonts w:ascii="Arial" w:hAnsi="Arial"/>
          <w:i/>
          <w:sz w:val="20"/>
          <w:szCs w:val="20"/>
          <w:lang w:val="en-GB"/>
        </w:rPr>
        <w:t>Mines Act</w:t>
      </w:r>
      <w:r w:rsidRPr="00AB6AA7">
        <w:rPr>
          <w:rFonts w:ascii="Arial" w:hAnsi="Arial"/>
          <w:sz w:val="20"/>
          <w:szCs w:val="20"/>
          <w:lang w:val="en-GB"/>
        </w:rPr>
        <w:t xml:space="preserve"> permit amendment </w:t>
      </w:r>
      <w:r w:rsidR="000D24FD" w:rsidRPr="00AB6AA7">
        <w:rPr>
          <w:rFonts w:ascii="Arial" w:hAnsi="Arial"/>
          <w:sz w:val="20"/>
          <w:szCs w:val="20"/>
          <w:lang w:val="en-GB"/>
        </w:rPr>
        <w:t xml:space="preserve">for </w:t>
      </w:r>
      <w:r w:rsidRPr="00AB6AA7">
        <w:rPr>
          <w:rFonts w:ascii="Arial" w:hAnsi="Arial"/>
          <w:sz w:val="20"/>
          <w:szCs w:val="20"/>
          <w:lang w:val="en-GB"/>
        </w:rPr>
        <w:t>the departure from the approved work;</w:t>
      </w:r>
    </w:p>
    <w:p w14:paraId="301A5B7D" w14:textId="77777777" w:rsidR="004028AC" w:rsidRPr="00AB6AA7" w:rsidRDefault="004028AC" w:rsidP="00A81876">
      <w:pPr>
        <w:pStyle w:val="Corpsdetexte"/>
        <w:widowControl/>
        <w:numPr>
          <w:ilvl w:val="0"/>
          <w:numId w:val="11"/>
        </w:numPr>
        <w:suppressAutoHyphens w:val="0"/>
        <w:spacing w:after="0"/>
        <w:jc w:val="both"/>
        <w:rPr>
          <w:rFonts w:ascii="Arial" w:hAnsi="Arial"/>
          <w:sz w:val="20"/>
          <w:szCs w:val="20"/>
          <w:lang w:val="en-GB"/>
        </w:rPr>
      </w:pPr>
      <w:r w:rsidRPr="00AB6AA7">
        <w:rPr>
          <w:rFonts w:ascii="Arial" w:hAnsi="Arial"/>
          <w:sz w:val="20"/>
          <w:szCs w:val="20"/>
          <w:lang w:val="en-GB"/>
        </w:rPr>
        <w:t>accurate and detailed TSF construction reports were not maintained, which would have supplied critical information to the engineer of record (to perceive a risk of the open sub-excavation) and to the Ministry (to assist in the analysis of the nature of the organizational control failure).</w:t>
      </w:r>
    </w:p>
    <w:p w14:paraId="7E34951C" w14:textId="77777777" w:rsidR="004028AC" w:rsidRPr="00AB6AA7" w:rsidRDefault="004028AC" w:rsidP="004028AC">
      <w:pPr>
        <w:rPr>
          <w:rFonts w:ascii="Arial" w:hAnsi="Arial"/>
          <w:sz w:val="20"/>
          <w:szCs w:val="20"/>
          <w:lang w:val="en-GB"/>
        </w:rPr>
      </w:pPr>
    </w:p>
    <w:p w14:paraId="4249570C" w14:textId="77777777" w:rsidR="000D24FD" w:rsidRPr="00AB6AA7" w:rsidRDefault="000D24FD" w:rsidP="004028AC">
      <w:pPr>
        <w:rPr>
          <w:rFonts w:ascii="Arial" w:hAnsi="Arial"/>
          <w:b/>
          <w:i/>
          <w:sz w:val="20"/>
          <w:szCs w:val="20"/>
          <w:lang w:val="en-GB"/>
        </w:rPr>
      </w:pPr>
      <w:r w:rsidRPr="00AB6AA7">
        <w:rPr>
          <w:rFonts w:ascii="Arial" w:hAnsi="Arial"/>
          <w:b/>
          <w:i/>
          <w:sz w:val="20"/>
          <w:szCs w:val="20"/>
          <w:lang w:val="en-GB"/>
        </w:rPr>
        <w:t>Embankment too steep, too high</w:t>
      </w:r>
    </w:p>
    <w:p w14:paraId="129D3537" w14:textId="77777777" w:rsidR="000D24FD" w:rsidRPr="00AB6AA7" w:rsidRDefault="000D24FD" w:rsidP="004028AC">
      <w:pPr>
        <w:rPr>
          <w:rFonts w:ascii="Arial" w:hAnsi="Arial"/>
          <w:sz w:val="20"/>
          <w:szCs w:val="20"/>
          <w:lang w:val="en-GB"/>
        </w:rPr>
      </w:pPr>
    </w:p>
    <w:p w14:paraId="340F27E4" w14:textId="77777777" w:rsidR="000D24FD" w:rsidRPr="00AB6AA7" w:rsidRDefault="000D24FD" w:rsidP="004028AC">
      <w:pPr>
        <w:rPr>
          <w:rFonts w:ascii="Arial" w:hAnsi="Arial"/>
          <w:sz w:val="20"/>
          <w:szCs w:val="20"/>
          <w:lang w:val="en-GB"/>
        </w:rPr>
      </w:pPr>
      <w:r w:rsidRPr="00AB6AA7">
        <w:rPr>
          <w:rFonts w:ascii="Arial" w:hAnsi="Arial"/>
          <w:sz w:val="20"/>
          <w:szCs w:val="20"/>
          <w:lang w:val="en-GB"/>
        </w:rPr>
        <w:t xml:space="preserve">With regard to </w:t>
      </w:r>
      <w:r w:rsidR="004028AC" w:rsidRPr="00AB6AA7">
        <w:rPr>
          <w:rFonts w:ascii="Arial" w:hAnsi="Arial"/>
          <w:sz w:val="20"/>
          <w:szCs w:val="20"/>
          <w:lang w:val="en-GB"/>
        </w:rPr>
        <w:t xml:space="preserve">the </w:t>
      </w:r>
      <w:r w:rsidRPr="00AB6AA7">
        <w:rPr>
          <w:rFonts w:ascii="Arial" w:hAnsi="Arial"/>
          <w:sz w:val="20"/>
          <w:szCs w:val="20"/>
          <w:lang w:val="en-GB"/>
        </w:rPr>
        <w:t xml:space="preserve">geometry of the </w:t>
      </w:r>
      <w:r w:rsidR="004028AC" w:rsidRPr="00AB6AA7">
        <w:rPr>
          <w:rFonts w:ascii="Arial" w:hAnsi="Arial"/>
          <w:sz w:val="20"/>
          <w:szCs w:val="20"/>
          <w:lang w:val="en-GB"/>
        </w:rPr>
        <w:t>perimeter embankment</w:t>
      </w:r>
      <w:r w:rsidRPr="00AB6AA7">
        <w:rPr>
          <w:rFonts w:ascii="Arial" w:hAnsi="Arial"/>
          <w:sz w:val="20"/>
          <w:szCs w:val="20"/>
          <w:lang w:val="en-GB"/>
        </w:rPr>
        <w:t>, the CIM noted that:</w:t>
      </w:r>
    </w:p>
    <w:p w14:paraId="447A3669" w14:textId="77777777" w:rsidR="000D24FD" w:rsidRPr="00AB6AA7" w:rsidRDefault="000D24FD" w:rsidP="004028AC">
      <w:pPr>
        <w:rPr>
          <w:rFonts w:ascii="Arial" w:hAnsi="Arial"/>
          <w:sz w:val="20"/>
          <w:szCs w:val="20"/>
          <w:lang w:val="en-GB"/>
        </w:rPr>
      </w:pPr>
    </w:p>
    <w:p w14:paraId="1F863928" w14:textId="77777777" w:rsidR="000D24FD" w:rsidRPr="00AB6AA7" w:rsidRDefault="004028AC" w:rsidP="00A81876">
      <w:pPr>
        <w:pStyle w:val="Paragraphedeliste"/>
        <w:numPr>
          <w:ilvl w:val="0"/>
          <w:numId w:val="15"/>
        </w:numPr>
        <w:rPr>
          <w:rFonts w:ascii="Arial" w:hAnsi="Arial" w:cs="Arial"/>
          <w:sz w:val="20"/>
          <w:szCs w:val="20"/>
          <w:lang w:val="en-GB"/>
        </w:rPr>
      </w:pPr>
      <w:r w:rsidRPr="00AB6AA7">
        <w:rPr>
          <w:rFonts w:ascii="Arial" w:hAnsi="Arial" w:cs="Arial"/>
          <w:sz w:val="20"/>
          <w:szCs w:val="20"/>
          <w:lang w:val="en-GB"/>
        </w:rPr>
        <w:t xml:space="preserve">the steepness of the downstream slope </w:t>
      </w:r>
      <w:r w:rsidR="000D24FD" w:rsidRPr="00AB6AA7">
        <w:rPr>
          <w:rFonts w:ascii="Arial" w:hAnsi="Arial" w:cs="Arial"/>
          <w:sz w:val="20"/>
          <w:szCs w:val="20"/>
          <w:lang w:val="en-GB"/>
        </w:rPr>
        <w:t xml:space="preserve">was too steep </w:t>
      </w:r>
      <w:r w:rsidRPr="00AB6AA7">
        <w:rPr>
          <w:rFonts w:ascii="Arial" w:hAnsi="Arial" w:cs="Arial"/>
          <w:sz w:val="20"/>
          <w:szCs w:val="20"/>
          <w:lang w:val="en-GB"/>
        </w:rPr>
        <w:t>and the height of the embankment</w:t>
      </w:r>
      <w:r w:rsidR="000D24FD" w:rsidRPr="00AB6AA7">
        <w:rPr>
          <w:rFonts w:ascii="Arial" w:hAnsi="Arial" w:cs="Arial"/>
          <w:sz w:val="20"/>
          <w:szCs w:val="20"/>
          <w:lang w:val="en-GB"/>
        </w:rPr>
        <w:t xml:space="preserve"> to high compare to original design;</w:t>
      </w:r>
    </w:p>
    <w:p w14:paraId="7B4B734B" w14:textId="77777777" w:rsidR="004028AC" w:rsidRPr="00AB6AA7" w:rsidRDefault="004028AC" w:rsidP="00A81876">
      <w:pPr>
        <w:pStyle w:val="Paragraphedeliste"/>
        <w:numPr>
          <w:ilvl w:val="0"/>
          <w:numId w:val="14"/>
        </w:numPr>
        <w:rPr>
          <w:rFonts w:ascii="Arial" w:hAnsi="Arial" w:cs="Arial"/>
          <w:sz w:val="20"/>
          <w:szCs w:val="20"/>
          <w:lang w:val="en-GB"/>
        </w:rPr>
      </w:pPr>
      <w:r w:rsidRPr="00AB6AA7">
        <w:rPr>
          <w:rFonts w:ascii="Arial" w:hAnsi="Arial" w:cs="Arial"/>
          <w:sz w:val="20"/>
          <w:szCs w:val="20"/>
          <w:lang w:val="en-GB"/>
        </w:rPr>
        <w:t>increasing production at the Mine coupled with increasing water surplus conditions required dam raises that outstripped MPMC’s ability to maintain the original 2H:1V slope</w:t>
      </w:r>
      <w:r w:rsidR="009F50D9" w:rsidRPr="00AB6AA7">
        <w:rPr>
          <w:rFonts w:ascii="Arial" w:hAnsi="Arial" w:cs="Arial"/>
          <w:sz w:val="20"/>
          <w:szCs w:val="20"/>
          <w:lang w:val="en-GB"/>
        </w:rPr>
        <w:t>;</w:t>
      </w:r>
    </w:p>
    <w:p w14:paraId="1892F431" w14:textId="77777777" w:rsidR="004028AC" w:rsidRPr="00AB6AA7" w:rsidRDefault="004028AC" w:rsidP="004028AC">
      <w:pPr>
        <w:rPr>
          <w:rFonts w:ascii="Arial" w:hAnsi="Arial"/>
          <w:sz w:val="20"/>
          <w:szCs w:val="20"/>
          <w:lang w:val="en-GB"/>
        </w:rPr>
      </w:pPr>
    </w:p>
    <w:p w14:paraId="58AEBDA9" w14:textId="77777777" w:rsidR="009F50D9" w:rsidRPr="00AB6AA7" w:rsidRDefault="009F50D9" w:rsidP="004028AC">
      <w:pPr>
        <w:rPr>
          <w:rFonts w:ascii="Arial" w:hAnsi="Arial"/>
          <w:sz w:val="20"/>
          <w:szCs w:val="20"/>
          <w:lang w:val="en-GB"/>
        </w:rPr>
      </w:pPr>
      <w:r w:rsidRPr="00AB6AA7">
        <w:rPr>
          <w:rFonts w:ascii="Arial" w:hAnsi="Arial"/>
          <w:b/>
          <w:i/>
          <w:sz w:val="20"/>
          <w:szCs w:val="20"/>
          <w:lang w:val="en-GB"/>
        </w:rPr>
        <w:t xml:space="preserve">Failures in overall MPMC’s management </w:t>
      </w:r>
    </w:p>
    <w:p w14:paraId="42AEEFA2" w14:textId="77777777" w:rsidR="009F50D9" w:rsidRPr="00AB6AA7" w:rsidRDefault="009F50D9" w:rsidP="004028AC">
      <w:pPr>
        <w:rPr>
          <w:rFonts w:ascii="Arial" w:hAnsi="Arial"/>
          <w:sz w:val="20"/>
          <w:szCs w:val="20"/>
          <w:lang w:val="en-GB"/>
        </w:rPr>
      </w:pPr>
    </w:p>
    <w:p w14:paraId="4C2C01A0" w14:textId="77777777" w:rsidR="004028AC" w:rsidRPr="00AB6AA7" w:rsidRDefault="009F50D9" w:rsidP="004028AC">
      <w:pPr>
        <w:rPr>
          <w:rFonts w:ascii="Arial" w:hAnsi="Arial"/>
          <w:sz w:val="20"/>
          <w:szCs w:val="20"/>
          <w:lang w:val="en-GB"/>
        </w:rPr>
      </w:pPr>
      <w:r w:rsidRPr="00AB6AA7">
        <w:rPr>
          <w:rFonts w:ascii="Arial" w:hAnsi="Arial"/>
          <w:sz w:val="20"/>
          <w:szCs w:val="20"/>
          <w:lang w:val="en-GB"/>
        </w:rPr>
        <w:t>T</w:t>
      </w:r>
      <w:r w:rsidR="004028AC" w:rsidRPr="00AB6AA7">
        <w:rPr>
          <w:rFonts w:ascii="Arial" w:hAnsi="Arial"/>
          <w:sz w:val="20"/>
          <w:szCs w:val="20"/>
          <w:lang w:val="en-GB"/>
        </w:rPr>
        <w:t>he CIM observed several failures in the overall management of the Mine. The CIM noted that it was the responsibility of MPMC to maintain a safe structure, irrespective of the company’s reliance on external geotechnical engineering expertise, and MPMC did not meet this responsibility.</w:t>
      </w:r>
      <w:r w:rsidRPr="00AB6AA7">
        <w:rPr>
          <w:rFonts w:ascii="Arial" w:hAnsi="Arial"/>
          <w:sz w:val="20"/>
          <w:szCs w:val="20"/>
          <w:lang w:val="en-GB"/>
        </w:rPr>
        <w:t xml:space="preserve"> </w:t>
      </w:r>
      <w:r w:rsidR="004028AC" w:rsidRPr="00AB6AA7">
        <w:rPr>
          <w:rFonts w:ascii="Arial" w:hAnsi="Arial"/>
          <w:sz w:val="20"/>
          <w:szCs w:val="20"/>
          <w:lang w:val="en-GB"/>
        </w:rPr>
        <w:t xml:space="preserve">Particular </w:t>
      </w:r>
      <w:r w:rsidRPr="00AB6AA7">
        <w:rPr>
          <w:rFonts w:ascii="Arial" w:hAnsi="Arial"/>
          <w:sz w:val="20"/>
          <w:szCs w:val="20"/>
          <w:lang w:val="en-GB"/>
        </w:rPr>
        <w:t xml:space="preserve">management </w:t>
      </w:r>
      <w:r w:rsidR="004028AC" w:rsidRPr="00AB6AA7">
        <w:rPr>
          <w:rFonts w:ascii="Arial" w:hAnsi="Arial"/>
          <w:sz w:val="20"/>
          <w:szCs w:val="20"/>
          <w:lang w:val="en-GB"/>
        </w:rPr>
        <w:t>failures</w:t>
      </w:r>
      <w:r w:rsidRPr="00AB6AA7">
        <w:rPr>
          <w:rFonts w:ascii="Arial" w:hAnsi="Arial"/>
          <w:sz w:val="20"/>
          <w:szCs w:val="20"/>
          <w:lang w:val="en-GB"/>
        </w:rPr>
        <w:t xml:space="preserve"> of MPMC included the following:</w:t>
      </w:r>
    </w:p>
    <w:p w14:paraId="4F4746EB" w14:textId="77777777" w:rsidR="004028AC" w:rsidRPr="00AB6AA7" w:rsidRDefault="004028AC" w:rsidP="004028AC">
      <w:pPr>
        <w:rPr>
          <w:rFonts w:ascii="Arial" w:hAnsi="Arial"/>
          <w:sz w:val="20"/>
          <w:szCs w:val="20"/>
          <w:lang w:val="en-GB"/>
        </w:rPr>
      </w:pPr>
    </w:p>
    <w:p w14:paraId="7C787F82" w14:textId="77777777" w:rsidR="009F50D9" w:rsidRPr="00AB6AA7" w:rsidRDefault="009F50D9" w:rsidP="00A81876">
      <w:pPr>
        <w:widowControl/>
        <w:numPr>
          <w:ilvl w:val="0"/>
          <w:numId w:val="12"/>
        </w:numPr>
        <w:suppressAutoHyphens w:val="0"/>
        <w:jc w:val="both"/>
        <w:rPr>
          <w:rFonts w:ascii="Arial" w:hAnsi="Arial"/>
          <w:sz w:val="20"/>
          <w:szCs w:val="20"/>
          <w:lang w:val="en-GB"/>
        </w:rPr>
      </w:pPr>
      <w:r w:rsidRPr="00AB6AA7">
        <w:rPr>
          <w:rFonts w:ascii="Arial" w:hAnsi="Arial"/>
          <w:sz w:val="20"/>
          <w:szCs w:val="20"/>
          <w:lang w:val="en-GB"/>
        </w:rPr>
        <w:t>MPMC did not identify or manage risks associated with changing engineers of record;</w:t>
      </w:r>
    </w:p>
    <w:p w14:paraId="35C08BC6" w14:textId="77777777" w:rsidR="004028AC" w:rsidRPr="00AB6AA7" w:rsidRDefault="004028AC" w:rsidP="00A81876">
      <w:pPr>
        <w:widowControl/>
        <w:numPr>
          <w:ilvl w:val="0"/>
          <w:numId w:val="12"/>
        </w:numPr>
        <w:suppressAutoHyphens w:val="0"/>
        <w:jc w:val="both"/>
        <w:rPr>
          <w:rFonts w:ascii="Arial" w:hAnsi="Arial"/>
          <w:sz w:val="20"/>
          <w:szCs w:val="20"/>
          <w:lang w:val="en-GB"/>
        </w:rPr>
      </w:pPr>
      <w:r w:rsidRPr="00AB6AA7">
        <w:rPr>
          <w:rFonts w:ascii="Arial" w:hAnsi="Arial"/>
          <w:sz w:val="20"/>
          <w:szCs w:val="20"/>
          <w:lang w:val="en-GB"/>
        </w:rPr>
        <w:t>MPMC did not recognize the risk of the excavation for the buttress foundation, nor the fact that it was a substantial departure from the approved work plan;</w:t>
      </w:r>
      <w:r w:rsidR="009F50D9" w:rsidRPr="00AB6AA7">
        <w:rPr>
          <w:rFonts w:ascii="Arial" w:hAnsi="Arial"/>
          <w:sz w:val="20"/>
          <w:szCs w:val="20"/>
          <w:lang w:val="en-GB"/>
        </w:rPr>
        <w:t xml:space="preserve"> </w:t>
      </w:r>
      <w:r w:rsidRPr="00AB6AA7">
        <w:rPr>
          <w:rFonts w:ascii="Arial" w:hAnsi="Arial"/>
          <w:sz w:val="20"/>
          <w:szCs w:val="20"/>
          <w:lang w:val="en-GB"/>
        </w:rPr>
        <w:t>and</w:t>
      </w:r>
    </w:p>
    <w:p w14:paraId="36BEF3FC" w14:textId="77777777" w:rsidR="004028AC" w:rsidRPr="00AB6AA7" w:rsidRDefault="004028AC" w:rsidP="00A81876">
      <w:pPr>
        <w:widowControl/>
        <w:numPr>
          <w:ilvl w:val="0"/>
          <w:numId w:val="12"/>
        </w:numPr>
        <w:suppressAutoHyphens w:val="0"/>
        <w:jc w:val="both"/>
        <w:rPr>
          <w:rFonts w:ascii="Arial" w:hAnsi="Arial"/>
          <w:sz w:val="20"/>
          <w:szCs w:val="20"/>
          <w:lang w:val="en-GB"/>
        </w:rPr>
      </w:pPr>
      <w:r w:rsidRPr="00AB6AA7">
        <w:rPr>
          <w:rFonts w:ascii="Arial" w:hAnsi="Arial"/>
          <w:sz w:val="20"/>
          <w:szCs w:val="20"/>
          <w:lang w:val="en-GB"/>
        </w:rPr>
        <w:t xml:space="preserve">concerns regarding </w:t>
      </w:r>
      <w:r w:rsidR="009F50D9" w:rsidRPr="00AB6AA7">
        <w:rPr>
          <w:rFonts w:ascii="Arial" w:hAnsi="Arial"/>
          <w:sz w:val="20"/>
          <w:szCs w:val="20"/>
          <w:lang w:val="en-GB"/>
        </w:rPr>
        <w:t xml:space="preserve">surplus water, </w:t>
      </w:r>
      <w:r w:rsidRPr="00AB6AA7">
        <w:rPr>
          <w:rFonts w:ascii="Arial" w:hAnsi="Arial"/>
          <w:sz w:val="20"/>
          <w:szCs w:val="20"/>
          <w:lang w:val="en-GB"/>
        </w:rPr>
        <w:t>steep slope, dam construction material av</w:t>
      </w:r>
      <w:r w:rsidR="009F50D9" w:rsidRPr="00AB6AA7">
        <w:rPr>
          <w:rFonts w:ascii="Arial" w:hAnsi="Arial"/>
          <w:sz w:val="20"/>
          <w:szCs w:val="20"/>
          <w:lang w:val="en-GB"/>
        </w:rPr>
        <w:t xml:space="preserve">ailability, buttress </w:t>
      </w:r>
      <w:r w:rsidRPr="00AB6AA7">
        <w:rPr>
          <w:rFonts w:ascii="Arial" w:hAnsi="Arial"/>
          <w:sz w:val="20"/>
          <w:szCs w:val="20"/>
          <w:lang w:val="en-GB"/>
        </w:rPr>
        <w:t>sub-</w:t>
      </w:r>
      <w:r w:rsidR="009F50D9" w:rsidRPr="00AB6AA7">
        <w:rPr>
          <w:rFonts w:ascii="Arial" w:hAnsi="Arial"/>
          <w:sz w:val="20"/>
          <w:szCs w:val="20"/>
          <w:lang w:val="en-GB"/>
        </w:rPr>
        <w:t>excavation,</w:t>
      </w:r>
      <w:r w:rsidRPr="00AB6AA7">
        <w:rPr>
          <w:rFonts w:ascii="Arial" w:hAnsi="Arial"/>
          <w:sz w:val="20"/>
          <w:szCs w:val="20"/>
          <w:lang w:val="en-GB"/>
        </w:rPr>
        <w:t xml:space="preserve"> </w:t>
      </w:r>
      <w:r w:rsidR="009F50D9" w:rsidRPr="00AB6AA7">
        <w:rPr>
          <w:rFonts w:ascii="Arial" w:hAnsi="Arial"/>
          <w:sz w:val="20"/>
          <w:szCs w:val="20"/>
          <w:lang w:val="en-GB"/>
        </w:rPr>
        <w:t xml:space="preserve">and supervision </w:t>
      </w:r>
      <w:r w:rsidRPr="00AB6AA7">
        <w:rPr>
          <w:rFonts w:ascii="Arial" w:hAnsi="Arial"/>
          <w:sz w:val="20"/>
          <w:szCs w:val="20"/>
          <w:lang w:val="en-GB"/>
        </w:rPr>
        <w:t xml:space="preserve">were identified by employees but not elevated for action by MPMC management. </w:t>
      </w:r>
    </w:p>
    <w:p w14:paraId="56A2E835" w14:textId="77777777" w:rsidR="004028AC" w:rsidRPr="00AB6AA7" w:rsidRDefault="004028AC" w:rsidP="004028AC">
      <w:pPr>
        <w:pStyle w:val="Corpsdetexte"/>
        <w:spacing w:after="0"/>
        <w:rPr>
          <w:rFonts w:ascii="Arial" w:hAnsi="Arial"/>
          <w:sz w:val="20"/>
          <w:szCs w:val="20"/>
          <w:lang w:val="en-GB"/>
        </w:rPr>
      </w:pPr>
    </w:p>
    <w:p w14:paraId="42B3150B" w14:textId="77777777" w:rsidR="009F50D9" w:rsidRPr="00AB6AA7" w:rsidRDefault="0039429F" w:rsidP="004028AC">
      <w:pPr>
        <w:pStyle w:val="Corpsdetexte"/>
        <w:spacing w:after="0"/>
        <w:rPr>
          <w:rFonts w:ascii="Arial" w:hAnsi="Arial"/>
          <w:sz w:val="20"/>
          <w:szCs w:val="20"/>
          <w:lang w:val="en-GB"/>
        </w:rPr>
      </w:pPr>
      <w:r w:rsidRPr="00AB6AA7">
        <w:rPr>
          <w:rFonts w:ascii="Arial" w:hAnsi="Arial"/>
          <w:b/>
          <w:i/>
          <w:sz w:val="20"/>
          <w:szCs w:val="20"/>
          <w:lang w:val="en-GB"/>
        </w:rPr>
        <w:t>MPMC in violations of BC’s Mines Act, Code, and Permits?</w:t>
      </w:r>
    </w:p>
    <w:p w14:paraId="6B3B0E07" w14:textId="77777777" w:rsidR="004028AC" w:rsidRPr="00AB6AA7" w:rsidRDefault="004028AC" w:rsidP="004028AC">
      <w:pPr>
        <w:rPr>
          <w:rFonts w:ascii="Arial" w:hAnsi="Arial"/>
          <w:sz w:val="20"/>
          <w:szCs w:val="20"/>
          <w:lang w:val="en-GB"/>
        </w:rPr>
      </w:pPr>
    </w:p>
    <w:p w14:paraId="539603E0" w14:textId="77777777" w:rsidR="00FD4CED" w:rsidRPr="00AB6AA7" w:rsidRDefault="0039429F" w:rsidP="00FD4CED">
      <w:pPr>
        <w:rPr>
          <w:rFonts w:ascii="Arial" w:hAnsi="Arial"/>
          <w:sz w:val="20"/>
          <w:szCs w:val="20"/>
          <w:lang w:val="en-GB"/>
        </w:rPr>
      </w:pPr>
      <w:r w:rsidRPr="00AB6AA7">
        <w:rPr>
          <w:rFonts w:ascii="Arial" w:hAnsi="Arial"/>
          <w:sz w:val="20"/>
          <w:szCs w:val="20"/>
          <w:lang w:val="en-GB"/>
        </w:rPr>
        <w:t>MiningWatch Canada is of the opinion that the above-mentioned failures demonstrate that MPMC might also be in violations of BC’s Mines Act, Code, or Mine permit terms and conditions. More specifically</w:t>
      </w:r>
      <w:r w:rsidR="00FD4CED" w:rsidRPr="00AB6AA7">
        <w:rPr>
          <w:rFonts w:ascii="Arial" w:hAnsi="Arial"/>
          <w:sz w:val="20"/>
          <w:szCs w:val="20"/>
          <w:lang w:val="en-GB"/>
        </w:rPr>
        <w:t>:</w:t>
      </w:r>
    </w:p>
    <w:p w14:paraId="3D1F806B" w14:textId="77777777" w:rsidR="00FD4CED" w:rsidRPr="00AB6AA7" w:rsidRDefault="00FD4CED" w:rsidP="0039429F">
      <w:pPr>
        <w:rPr>
          <w:rFonts w:ascii="Arial" w:hAnsi="Arial"/>
          <w:sz w:val="20"/>
          <w:szCs w:val="20"/>
          <w:lang w:val="en-GB"/>
        </w:rPr>
      </w:pPr>
    </w:p>
    <w:p w14:paraId="7C8E4CC1" w14:textId="77777777" w:rsidR="0039429F" w:rsidRPr="00AB6AA7" w:rsidRDefault="0039429F" w:rsidP="00A81876">
      <w:pPr>
        <w:pStyle w:val="Corpsdetexte"/>
        <w:widowControl/>
        <w:numPr>
          <w:ilvl w:val="0"/>
          <w:numId w:val="16"/>
        </w:numPr>
        <w:suppressAutoHyphens w:val="0"/>
        <w:spacing w:after="0"/>
        <w:jc w:val="both"/>
        <w:rPr>
          <w:rFonts w:ascii="Arial" w:hAnsi="Arial"/>
          <w:sz w:val="20"/>
          <w:szCs w:val="20"/>
          <w:lang w:val="en-GB"/>
        </w:rPr>
      </w:pPr>
      <w:r w:rsidRPr="00AB6AA7">
        <w:rPr>
          <w:rFonts w:ascii="Arial" w:hAnsi="Arial"/>
          <w:sz w:val="20"/>
          <w:szCs w:val="20"/>
          <w:lang w:val="en-GB"/>
        </w:rPr>
        <w:t>Failure to retain a manager with appropriate expertise, and failure by MPMC to take all reasonable measures to c</w:t>
      </w:r>
      <w:r w:rsidR="00C77248" w:rsidRPr="00AB6AA7">
        <w:rPr>
          <w:rFonts w:ascii="Arial" w:hAnsi="Arial"/>
          <w:sz w:val="20"/>
          <w:szCs w:val="20"/>
          <w:lang w:val="en-GB"/>
        </w:rPr>
        <w:t>omply with legal requirements–</w:t>
      </w:r>
      <w:r w:rsidRPr="00AB6AA7">
        <w:rPr>
          <w:rFonts w:ascii="Arial" w:hAnsi="Arial"/>
          <w:sz w:val="20"/>
          <w:szCs w:val="20"/>
          <w:lang w:val="en-GB"/>
        </w:rPr>
        <w:t>violation of:</w:t>
      </w:r>
    </w:p>
    <w:p w14:paraId="7A2377AE"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i/>
          <w:sz w:val="20"/>
          <w:szCs w:val="20"/>
          <w:lang w:val="en-GB"/>
        </w:rPr>
        <w:t>Mines Act</w:t>
      </w:r>
      <w:r w:rsidRPr="00AB6AA7">
        <w:rPr>
          <w:rFonts w:ascii="Arial" w:hAnsi="Arial"/>
          <w:sz w:val="20"/>
          <w:szCs w:val="20"/>
          <w:lang w:val="en-GB"/>
        </w:rPr>
        <w:t xml:space="preserve">, ss. 21, 22, 24; and </w:t>
      </w:r>
    </w:p>
    <w:p w14:paraId="3DB339E2"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i/>
          <w:sz w:val="20"/>
          <w:szCs w:val="20"/>
          <w:lang w:val="en-GB"/>
        </w:rPr>
        <w:t>Health, Safety and Reclamation Code for Mines in British Columbia</w:t>
      </w:r>
      <w:r w:rsidRPr="00AB6AA7">
        <w:rPr>
          <w:rFonts w:ascii="Arial" w:hAnsi="Arial"/>
          <w:sz w:val="20"/>
          <w:szCs w:val="20"/>
          <w:lang w:val="en-GB"/>
        </w:rPr>
        <w:t xml:space="preserve"> (“Code”), ss. 1.1.2, 6.1.1.</w:t>
      </w:r>
    </w:p>
    <w:p w14:paraId="1FC06DB1" w14:textId="77777777" w:rsidR="0039429F" w:rsidRPr="00AB6AA7" w:rsidRDefault="0039429F" w:rsidP="0039429F">
      <w:pPr>
        <w:pStyle w:val="Corpsdetexte"/>
        <w:widowControl/>
        <w:suppressAutoHyphens w:val="0"/>
        <w:spacing w:after="0"/>
        <w:ind w:left="720"/>
        <w:jc w:val="both"/>
        <w:rPr>
          <w:rFonts w:ascii="Arial" w:hAnsi="Arial"/>
          <w:sz w:val="20"/>
          <w:szCs w:val="20"/>
          <w:lang w:val="en-GB"/>
        </w:rPr>
      </w:pPr>
    </w:p>
    <w:p w14:paraId="343CE9EE" w14:textId="77777777" w:rsidR="0039429F" w:rsidRPr="00AB6AA7" w:rsidRDefault="0039429F" w:rsidP="00A81876">
      <w:pPr>
        <w:pStyle w:val="Corpsdetexte"/>
        <w:widowControl/>
        <w:numPr>
          <w:ilvl w:val="0"/>
          <w:numId w:val="16"/>
        </w:numPr>
        <w:suppressAutoHyphens w:val="0"/>
        <w:spacing w:after="0"/>
        <w:jc w:val="both"/>
        <w:rPr>
          <w:rFonts w:ascii="Arial" w:hAnsi="Arial"/>
          <w:sz w:val="20"/>
          <w:szCs w:val="20"/>
          <w:lang w:val="en-GB"/>
        </w:rPr>
      </w:pPr>
      <w:r w:rsidRPr="00AB6AA7">
        <w:rPr>
          <w:rFonts w:ascii="Arial" w:hAnsi="Arial"/>
          <w:sz w:val="20"/>
          <w:szCs w:val="20"/>
          <w:lang w:val="en-GB"/>
        </w:rPr>
        <w:t xml:space="preserve">Failure to construct the TSF </w:t>
      </w:r>
      <w:r w:rsidR="00C77248" w:rsidRPr="00AB6AA7">
        <w:rPr>
          <w:rFonts w:ascii="Arial" w:hAnsi="Arial"/>
          <w:sz w:val="20"/>
          <w:szCs w:val="20"/>
          <w:lang w:val="en-GB"/>
        </w:rPr>
        <w:t>in accordance with the design–</w:t>
      </w:r>
      <w:r w:rsidRPr="00AB6AA7">
        <w:rPr>
          <w:rFonts w:ascii="Arial" w:hAnsi="Arial"/>
          <w:sz w:val="20"/>
          <w:szCs w:val="20"/>
          <w:lang w:val="en-GB"/>
        </w:rPr>
        <w:t>violation of:</w:t>
      </w:r>
    </w:p>
    <w:p w14:paraId="1FE72601"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i/>
          <w:sz w:val="20"/>
          <w:szCs w:val="20"/>
          <w:lang w:val="en-GB"/>
        </w:rPr>
        <w:t>Mines Act</w:t>
      </w:r>
      <w:r w:rsidRPr="00AB6AA7">
        <w:rPr>
          <w:rFonts w:ascii="Arial" w:hAnsi="Arial"/>
          <w:sz w:val="20"/>
          <w:szCs w:val="20"/>
          <w:lang w:val="en-GB"/>
        </w:rPr>
        <w:t xml:space="preserve">, s. 10(8); </w:t>
      </w:r>
    </w:p>
    <w:p w14:paraId="01A9C657"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sz w:val="20"/>
          <w:szCs w:val="20"/>
          <w:lang w:val="en-GB"/>
        </w:rPr>
        <w:t>Code, ss. 1.1.2, 6.1.1, 10.1.11; and</w:t>
      </w:r>
    </w:p>
    <w:p w14:paraId="692AA024"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sz w:val="20"/>
          <w:szCs w:val="20"/>
          <w:lang w:val="en-GB"/>
        </w:rPr>
        <w:t xml:space="preserve">Mine Permit M-200 amendment, August 9, 2013. </w:t>
      </w:r>
    </w:p>
    <w:p w14:paraId="234E6930" w14:textId="77777777" w:rsidR="0039429F" w:rsidRPr="00AB6AA7" w:rsidRDefault="0039429F" w:rsidP="0039429F">
      <w:pPr>
        <w:pStyle w:val="Corpsdetexte"/>
        <w:widowControl/>
        <w:suppressAutoHyphens w:val="0"/>
        <w:spacing w:after="0"/>
        <w:ind w:left="720"/>
        <w:jc w:val="both"/>
        <w:rPr>
          <w:rFonts w:ascii="Arial" w:hAnsi="Arial"/>
          <w:sz w:val="20"/>
          <w:szCs w:val="20"/>
          <w:lang w:val="en-GB"/>
        </w:rPr>
      </w:pPr>
    </w:p>
    <w:p w14:paraId="122608CB" w14:textId="77777777" w:rsidR="0039429F" w:rsidRPr="00AB6AA7" w:rsidRDefault="0039429F" w:rsidP="00A81876">
      <w:pPr>
        <w:pStyle w:val="Corpsdetexte"/>
        <w:widowControl/>
        <w:numPr>
          <w:ilvl w:val="0"/>
          <w:numId w:val="16"/>
        </w:numPr>
        <w:suppressAutoHyphens w:val="0"/>
        <w:spacing w:after="0"/>
        <w:jc w:val="both"/>
        <w:rPr>
          <w:rFonts w:ascii="Arial" w:hAnsi="Arial"/>
          <w:sz w:val="20"/>
          <w:szCs w:val="20"/>
          <w:lang w:val="en-GB"/>
        </w:rPr>
      </w:pPr>
      <w:r w:rsidRPr="00AB6AA7">
        <w:rPr>
          <w:rFonts w:ascii="Arial" w:hAnsi="Arial"/>
          <w:sz w:val="20"/>
          <w:szCs w:val="20"/>
          <w:lang w:val="en-GB"/>
        </w:rPr>
        <w:t>Failure to maintain a site-wide water balance and appropriate site water management</w:t>
      </w:r>
      <w:r w:rsidR="00C77248" w:rsidRPr="00AB6AA7">
        <w:rPr>
          <w:rFonts w:ascii="Arial" w:hAnsi="Arial"/>
          <w:sz w:val="20"/>
          <w:szCs w:val="20"/>
          <w:lang w:val="en-GB"/>
        </w:rPr>
        <w:t>–</w:t>
      </w:r>
      <w:r w:rsidRPr="00AB6AA7">
        <w:rPr>
          <w:rFonts w:ascii="Arial" w:hAnsi="Arial"/>
          <w:sz w:val="20"/>
          <w:szCs w:val="20"/>
          <w:lang w:val="en-GB"/>
        </w:rPr>
        <w:t>violation of:</w:t>
      </w:r>
    </w:p>
    <w:p w14:paraId="582C099E"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i/>
          <w:sz w:val="20"/>
          <w:szCs w:val="20"/>
          <w:lang w:val="en-GB"/>
        </w:rPr>
        <w:t>Mines Act</w:t>
      </w:r>
      <w:r w:rsidRPr="00AB6AA7">
        <w:rPr>
          <w:rFonts w:ascii="Arial" w:hAnsi="Arial"/>
          <w:sz w:val="20"/>
          <w:szCs w:val="20"/>
          <w:lang w:val="en-GB"/>
        </w:rPr>
        <w:t xml:space="preserve">, s. 10(8); </w:t>
      </w:r>
    </w:p>
    <w:p w14:paraId="2C79E33E"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sz w:val="20"/>
          <w:szCs w:val="20"/>
          <w:lang w:val="en-GB"/>
        </w:rPr>
        <w:t>Code, s. 1.1.2; and</w:t>
      </w:r>
    </w:p>
    <w:p w14:paraId="5B0F8A21"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sz w:val="20"/>
          <w:szCs w:val="20"/>
          <w:lang w:val="en-GB"/>
        </w:rPr>
        <w:t xml:space="preserve">Mine Permit M-200 amendments, August 15, 2011, June 29, 2012, June 25, 2013. </w:t>
      </w:r>
    </w:p>
    <w:p w14:paraId="7E32EE33" w14:textId="77777777" w:rsidR="0039429F" w:rsidRPr="00AB6AA7" w:rsidRDefault="0039429F" w:rsidP="0039429F">
      <w:pPr>
        <w:pStyle w:val="Corpsdetexte"/>
        <w:widowControl/>
        <w:suppressAutoHyphens w:val="0"/>
        <w:spacing w:after="0"/>
        <w:ind w:left="720"/>
        <w:jc w:val="both"/>
        <w:rPr>
          <w:rFonts w:ascii="Arial" w:hAnsi="Arial"/>
          <w:sz w:val="20"/>
          <w:szCs w:val="20"/>
          <w:lang w:val="en-GB"/>
        </w:rPr>
      </w:pPr>
    </w:p>
    <w:p w14:paraId="02E90F0B" w14:textId="77777777" w:rsidR="0039429F" w:rsidRPr="00AB6AA7" w:rsidRDefault="0039429F" w:rsidP="00A81876">
      <w:pPr>
        <w:pStyle w:val="Corpsdetexte"/>
        <w:widowControl/>
        <w:numPr>
          <w:ilvl w:val="0"/>
          <w:numId w:val="16"/>
        </w:numPr>
        <w:suppressAutoHyphens w:val="0"/>
        <w:spacing w:after="0"/>
        <w:jc w:val="both"/>
        <w:rPr>
          <w:rFonts w:ascii="Arial" w:hAnsi="Arial"/>
          <w:sz w:val="20"/>
          <w:szCs w:val="20"/>
          <w:lang w:val="en-GB"/>
        </w:rPr>
      </w:pPr>
      <w:r w:rsidRPr="00AB6AA7">
        <w:rPr>
          <w:rFonts w:ascii="Arial" w:hAnsi="Arial"/>
          <w:sz w:val="20"/>
          <w:szCs w:val="20"/>
          <w:lang w:val="en-GB"/>
        </w:rPr>
        <w:t>Failure</w:t>
      </w:r>
      <w:r w:rsidR="00C77248" w:rsidRPr="00AB6AA7">
        <w:rPr>
          <w:rFonts w:ascii="Arial" w:hAnsi="Arial"/>
          <w:sz w:val="20"/>
          <w:szCs w:val="20"/>
          <w:lang w:val="en-GB"/>
        </w:rPr>
        <w:t xml:space="preserve"> to maintain tailings beaches–</w:t>
      </w:r>
      <w:r w:rsidRPr="00AB6AA7">
        <w:rPr>
          <w:rFonts w:ascii="Arial" w:hAnsi="Arial"/>
          <w:sz w:val="20"/>
          <w:szCs w:val="20"/>
          <w:lang w:val="en-GB"/>
        </w:rPr>
        <w:t>violation of:</w:t>
      </w:r>
    </w:p>
    <w:p w14:paraId="41F2DDDB"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i/>
          <w:sz w:val="20"/>
          <w:szCs w:val="20"/>
          <w:lang w:val="en-GB"/>
        </w:rPr>
        <w:t>Mines Act</w:t>
      </w:r>
      <w:r w:rsidRPr="00AB6AA7">
        <w:rPr>
          <w:rFonts w:ascii="Arial" w:hAnsi="Arial"/>
          <w:sz w:val="20"/>
          <w:szCs w:val="20"/>
          <w:lang w:val="en-GB"/>
        </w:rPr>
        <w:t>, s. 15(6)(a); and</w:t>
      </w:r>
    </w:p>
    <w:p w14:paraId="1D35F1A1" w14:textId="77777777" w:rsidR="0039429F" w:rsidRPr="00AB6AA7" w:rsidRDefault="0039429F" w:rsidP="00A81876">
      <w:pPr>
        <w:pStyle w:val="Corpsdetexte"/>
        <w:widowControl/>
        <w:numPr>
          <w:ilvl w:val="1"/>
          <w:numId w:val="16"/>
        </w:numPr>
        <w:suppressAutoHyphens w:val="0"/>
        <w:spacing w:after="0"/>
        <w:jc w:val="both"/>
        <w:rPr>
          <w:rFonts w:ascii="Arial" w:hAnsi="Arial"/>
          <w:sz w:val="20"/>
          <w:szCs w:val="20"/>
          <w:lang w:val="en-GB"/>
        </w:rPr>
      </w:pPr>
      <w:r w:rsidRPr="00AB6AA7">
        <w:rPr>
          <w:rFonts w:ascii="Arial" w:hAnsi="Arial"/>
          <w:sz w:val="20"/>
          <w:szCs w:val="20"/>
          <w:lang w:val="en-GB"/>
        </w:rPr>
        <w:t>Code, ss. 1.1.2, 10.1.11.</w:t>
      </w:r>
    </w:p>
    <w:p w14:paraId="39837A84" w14:textId="77777777" w:rsidR="0039429F" w:rsidRPr="00AB6AA7" w:rsidRDefault="0039429F" w:rsidP="0039429F">
      <w:pPr>
        <w:rPr>
          <w:rFonts w:ascii="Arial" w:hAnsi="Arial"/>
          <w:sz w:val="20"/>
          <w:szCs w:val="20"/>
          <w:lang w:val="en-GB"/>
        </w:rPr>
      </w:pPr>
    </w:p>
    <w:p w14:paraId="03FFE94E" w14:textId="77777777" w:rsidR="00C77248" w:rsidRPr="00AB6AA7" w:rsidRDefault="00C77248" w:rsidP="0039429F">
      <w:pPr>
        <w:rPr>
          <w:rFonts w:ascii="Arial" w:hAnsi="Arial"/>
          <w:sz w:val="20"/>
          <w:szCs w:val="20"/>
          <w:lang w:val="en-GB"/>
        </w:rPr>
      </w:pPr>
      <w:r w:rsidRPr="00AB6AA7">
        <w:rPr>
          <w:rFonts w:ascii="Arial" w:hAnsi="Arial"/>
          <w:sz w:val="20"/>
          <w:szCs w:val="20"/>
          <w:lang w:val="en-GB"/>
        </w:rPr>
        <w:t xml:space="preserve">As such, </w:t>
      </w:r>
      <w:r w:rsidR="0039429F" w:rsidRPr="00AB6AA7">
        <w:rPr>
          <w:rFonts w:ascii="Arial" w:hAnsi="Arial"/>
          <w:sz w:val="20"/>
          <w:szCs w:val="20"/>
          <w:lang w:val="en-GB"/>
        </w:rPr>
        <w:t xml:space="preserve">MiningWatch Canada </w:t>
      </w:r>
      <w:r w:rsidRPr="00AB6AA7">
        <w:rPr>
          <w:rFonts w:ascii="Arial" w:hAnsi="Arial"/>
          <w:sz w:val="20"/>
          <w:szCs w:val="20"/>
          <w:lang w:val="en-GB"/>
        </w:rPr>
        <w:t xml:space="preserve">cannot explain why the BC Chief Inspector of mines decided not to forward the case to the BC Crown Persecutor for a general assessment of potential charges. </w:t>
      </w:r>
    </w:p>
    <w:p w14:paraId="0BA61687" w14:textId="77777777" w:rsidR="001D6704" w:rsidRPr="00AB6AA7" w:rsidRDefault="001D6704" w:rsidP="001D6704">
      <w:pPr>
        <w:rPr>
          <w:rFonts w:ascii="Arial" w:hAnsi="Arial"/>
          <w:sz w:val="20"/>
          <w:szCs w:val="20"/>
          <w:lang w:val="en-GB"/>
        </w:rPr>
      </w:pPr>
    </w:p>
    <w:p w14:paraId="7DBAED90" w14:textId="77777777" w:rsidR="00012C77" w:rsidRPr="00AB6AA7" w:rsidRDefault="00012C77" w:rsidP="001D6704">
      <w:pPr>
        <w:rPr>
          <w:rFonts w:ascii="Arial" w:hAnsi="Arial"/>
          <w:sz w:val="20"/>
          <w:szCs w:val="20"/>
          <w:lang w:val="en-GB"/>
        </w:rPr>
      </w:pPr>
    </w:p>
    <w:p w14:paraId="0738BA2E" w14:textId="77777777" w:rsidR="001D6704" w:rsidRPr="00AB6AA7" w:rsidRDefault="001D6704" w:rsidP="0044737B">
      <w:pPr>
        <w:pStyle w:val="Titre2"/>
        <w:rPr>
          <w:lang w:val="en-GB"/>
        </w:rPr>
      </w:pPr>
      <w:bookmarkStart w:id="9" w:name="_Toc464474241"/>
      <w:r w:rsidRPr="00AB6AA7">
        <w:rPr>
          <w:lang w:val="en-GB"/>
        </w:rPr>
        <w:t>5. The BC Government as Co-responsible for the Spill?</w:t>
      </w:r>
      <w:bookmarkEnd w:id="9"/>
    </w:p>
    <w:p w14:paraId="264B3CC5" w14:textId="77777777" w:rsidR="004B09BB" w:rsidRPr="00AB6AA7" w:rsidRDefault="004B09BB" w:rsidP="001D6704">
      <w:pPr>
        <w:rPr>
          <w:rFonts w:ascii="Arial" w:hAnsi="Arial"/>
          <w:bCs/>
          <w:sz w:val="20"/>
          <w:szCs w:val="20"/>
          <w:lang w:val="en-GB"/>
        </w:rPr>
      </w:pPr>
    </w:p>
    <w:p w14:paraId="2F67250A" w14:textId="77777777" w:rsidR="00E662F0" w:rsidRPr="00AB6AA7" w:rsidRDefault="00E31DA7" w:rsidP="00E662F0">
      <w:pPr>
        <w:rPr>
          <w:rFonts w:ascii="Arial" w:hAnsi="Arial"/>
          <w:sz w:val="20"/>
          <w:szCs w:val="20"/>
          <w:lang w:val="en-GB"/>
        </w:rPr>
      </w:pPr>
      <w:r w:rsidRPr="00AB6AA7">
        <w:rPr>
          <w:rFonts w:ascii="Arial" w:hAnsi="Arial"/>
          <w:sz w:val="20"/>
          <w:szCs w:val="20"/>
          <w:lang w:val="en-GB"/>
        </w:rPr>
        <w:t>In t</w:t>
      </w:r>
      <w:r w:rsidR="00BC4B5D" w:rsidRPr="00AB6AA7">
        <w:rPr>
          <w:rFonts w:ascii="Arial" w:hAnsi="Arial"/>
          <w:sz w:val="20"/>
          <w:szCs w:val="20"/>
          <w:lang w:val="en-GB"/>
        </w:rPr>
        <w:t xml:space="preserve">he </w:t>
      </w:r>
      <w:r w:rsidR="00BC4B5D" w:rsidRPr="00AB6AA7">
        <w:rPr>
          <w:rFonts w:ascii="Arial" w:hAnsi="Arial"/>
          <w:b/>
          <w:i/>
          <w:sz w:val="20"/>
          <w:szCs w:val="20"/>
          <w:lang w:val="en-GB"/>
        </w:rPr>
        <w:t>Supreme Court of Canada in R. v. Sault Ste. Marie, [1978] 2 SCR 1299</w:t>
      </w:r>
      <w:r w:rsidRPr="00AB6AA7">
        <w:rPr>
          <w:rFonts w:ascii="Arial" w:hAnsi="Arial"/>
          <w:b/>
          <w:i/>
          <w:sz w:val="20"/>
          <w:szCs w:val="20"/>
          <w:lang w:val="en-GB"/>
        </w:rPr>
        <w:t xml:space="preserve">, </w:t>
      </w:r>
      <w:r w:rsidRPr="00AB6AA7">
        <w:rPr>
          <w:rFonts w:ascii="Arial" w:hAnsi="Arial"/>
          <w:sz w:val="20"/>
          <w:szCs w:val="20"/>
          <w:lang w:val="en-GB"/>
        </w:rPr>
        <w:t xml:space="preserve">Mr. Justice Dickson expressed the importance in relation to public welfare offences—such as pollution offences—that </w:t>
      </w:r>
      <w:r w:rsidRPr="00AB6AA7">
        <w:rPr>
          <w:rFonts w:ascii="Arial" w:hAnsi="Arial"/>
          <w:i/>
          <w:sz w:val="20"/>
          <w:szCs w:val="20"/>
          <w:lang w:val="en-GB"/>
        </w:rPr>
        <w:t>“the protection of societal interests requires a high standard of care and attention on the part of those who follow certain pursuits and such persons are more likely to be stimulated to maintain those standards if they know that ignorance or mistake will not excuse them”</w:t>
      </w:r>
      <w:r w:rsidRPr="00AB6AA7">
        <w:rPr>
          <w:rFonts w:ascii="Arial" w:hAnsi="Arial"/>
          <w:sz w:val="20"/>
          <w:szCs w:val="20"/>
          <w:lang w:val="en-GB"/>
        </w:rPr>
        <w:t>. And w</w:t>
      </w:r>
      <w:r w:rsidR="00BC4B5D" w:rsidRPr="00AB6AA7">
        <w:rPr>
          <w:rFonts w:ascii="Arial" w:hAnsi="Arial"/>
          <w:sz w:val="20"/>
          <w:szCs w:val="20"/>
          <w:lang w:val="en-GB"/>
        </w:rPr>
        <w:t xml:space="preserve">hen referring to the municipality of Sault Ste. Marie, </w:t>
      </w:r>
      <w:r w:rsidRPr="00AB6AA7">
        <w:rPr>
          <w:rFonts w:ascii="Arial" w:hAnsi="Arial"/>
          <w:sz w:val="20"/>
          <w:szCs w:val="20"/>
          <w:lang w:val="en-GB"/>
        </w:rPr>
        <w:t xml:space="preserve">the court held that: </w:t>
      </w:r>
      <w:r w:rsidRPr="00AB6AA7">
        <w:rPr>
          <w:rFonts w:ascii="Arial" w:hAnsi="Arial"/>
          <w:b/>
          <w:i/>
          <w:sz w:val="20"/>
          <w:szCs w:val="20"/>
          <w:lang w:val="en-GB"/>
        </w:rPr>
        <w:t>“If [the municipality]</w:t>
      </w:r>
      <w:r w:rsidR="00BC4B5D" w:rsidRPr="00AB6AA7">
        <w:rPr>
          <w:rFonts w:ascii="Arial" w:hAnsi="Arial"/>
          <w:b/>
          <w:i/>
          <w:sz w:val="20"/>
          <w:szCs w:val="20"/>
          <w:lang w:val="en-GB"/>
        </w:rPr>
        <w:t xml:space="preserve"> can and should control the activity at the point where pollution occurs, then it is responsible for the pollution”</w:t>
      </w:r>
      <w:r w:rsidR="00BC4B5D" w:rsidRPr="00AB6AA7">
        <w:rPr>
          <w:rFonts w:ascii="Arial" w:hAnsi="Arial"/>
          <w:sz w:val="20"/>
          <w:szCs w:val="20"/>
          <w:lang w:val="en-GB"/>
        </w:rPr>
        <w:t xml:space="preserve">. </w:t>
      </w:r>
    </w:p>
    <w:p w14:paraId="2304B173" w14:textId="77777777" w:rsidR="00E31DA7" w:rsidRPr="00AB6AA7" w:rsidRDefault="00E31DA7" w:rsidP="00BC4B5D">
      <w:pPr>
        <w:rPr>
          <w:rFonts w:ascii="Arial" w:hAnsi="Arial"/>
          <w:sz w:val="20"/>
          <w:szCs w:val="20"/>
          <w:lang w:val="en-GB"/>
        </w:rPr>
      </w:pPr>
    </w:p>
    <w:p w14:paraId="061840D4" w14:textId="77777777" w:rsidR="008F2366" w:rsidRPr="00AB6AA7" w:rsidRDefault="00BC4B5D" w:rsidP="00BC4B5D">
      <w:pPr>
        <w:rPr>
          <w:rFonts w:ascii="Arial" w:hAnsi="Arial"/>
          <w:sz w:val="20"/>
          <w:szCs w:val="20"/>
          <w:lang w:val="en-GB"/>
        </w:rPr>
      </w:pPr>
      <w:r w:rsidRPr="00AB6AA7">
        <w:rPr>
          <w:rFonts w:ascii="Arial" w:hAnsi="Arial"/>
          <w:sz w:val="20"/>
          <w:szCs w:val="20"/>
          <w:lang w:val="en-GB"/>
        </w:rPr>
        <w:t>The Province</w:t>
      </w:r>
      <w:r w:rsidR="00E31DA7" w:rsidRPr="00AB6AA7">
        <w:rPr>
          <w:rFonts w:ascii="Arial" w:hAnsi="Arial"/>
          <w:sz w:val="20"/>
          <w:szCs w:val="20"/>
          <w:lang w:val="en-GB"/>
        </w:rPr>
        <w:t xml:space="preserve"> of BC</w:t>
      </w:r>
      <w:r w:rsidRPr="00AB6AA7">
        <w:rPr>
          <w:rFonts w:ascii="Arial" w:hAnsi="Arial"/>
          <w:sz w:val="20"/>
          <w:szCs w:val="20"/>
          <w:lang w:val="en-GB"/>
        </w:rPr>
        <w:t>, and specifically the M</w:t>
      </w:r>
      <w:r w:rsidR="00E662F0" w:rsidRPr="00AB6AA7">
        <w:rPr>
          <w:rFonts w:ascii="Arial" w:hAnsi="Arial"/>
          <w:sz w:val="20"/>
          <w:szCs w:val="20"/>
          <w:lang w:val="en-GB"/>
        </w:rPr>
        <w:t xml:space="preserve">inistry of </w:t>
      </w:r>
      <w:r w:rsidRPr="00AB6AA7">
        <w:rPr>
          <w:rFonts w:ascii="Arial" w:hAnsi="Arial"/>
          <w:sz w:val="20"/>
          <w:szCs w:val="20"/>
          <w:lang w:val="en-GB"/>
        </w:rPr>
        <w:t>E</w:t>
      </w:r>
      <w:r w:rsidR="00E662F0" w:rsidRPr="00AB6AA7">
        <w:rPr>
          <w:rFonts w:ascii="Arial" w:hAnsi="Arial"/>
          <w:sz w:val="20"/>
          <w:szCs w:val="20"/>
          <w:lang w:val="en-GB"/>
        </w:rPr>
        <w:t xml:space="preserve">nergy and </w:t>
      </w:r>
      <w:r w:rsidRPr="00AB6AA7">
        <w:rPr>
          <w:rFonts w:ascii="Arial" w:hAnsi="Arial"/>
          <w:sz w:val="20"/>
          <w:szCs w:val="20"/>
          <w:lang w:val="en-GB"/>
        </w:rPr>
        <w:t>M</w:t>
      </w:r>
      <w:r w:rsidR="00E662F0" w:rsidRPr="00AB6AA7">
        <w:rPr>
          <w:rFonts w:ascii="Arial" w:hAnsi="Arial"/>
          <w:sz w:val="20"/>
          <w:szCs w:val="20"/>
          <w:lang w:val="en-GB"/>
        </w:rPr>
        <w:t>ines (MEM)</w:t>
      </w:r>
      <w:r w:rsidRPr="00AB6AA7">
        <w:rPr>
          <w:rFonts w:ascii="Arial" w:hAnsi="Arial"/>
          <w:sz w:val="20"/>
          <w:szCs w:val="20"/>
          <w:lang w:val="en-GB"/>
        </w:rPr>
        <w:t>, was involved in controlling the design, construction and operation of the mine through its investigation and permitting process. Both the Province and MPMC were aware of the fact that the TSF was not constructed according to design, and the MEM had raised this as an issue on several occasions prior to the failure.</w:t>
      </w:r>
    </w:p>
    <w:p w14:paraId="6B7BB365" w14:textId="77777777" w:rsidR="008F2366" w:rsidRPr="00AB6AA7" w:rsidRDefault="008F2366" w:rsidP="008F2366">
      <w:pPr>
        <w:rPr>
          <w:rFonts w:ascii="Arial" w:hAnsi="Arial"/>
          <w:sz w:val="20"/>
          <w:szCs w:val="20"/>
          <w:lang w:val="en-GB"/>
        </w:rPr>
      </w:pPr>
    </w:p>
    <w:p w14:paraId="039E143E" w14:textId="77777777" w:rsidR="008F2366" w:rsidRPr="00AB6AA7" w:rsidRDefault="008F2366" w:rsidP="008F2366">
      <w:pPr>
        <w:rPr>
          <w:rFonts w:ascii="Arial" w:hAnsi="Arial"/>
          <w:sz w:val="20"/>
          <w:szCs w:val="20"/>
          <w:lang w:val="en-GB"/>
        </w:rPr>
      </w:pPr>
      <w:r w:rsidRPr="00AB6AA7">
        <w:rPr>
          <w:rFonts w:ascii="Arial" w:hAnsi="Arial"/>
          <w:sz w:val="20"/>
          <w:szCs w:val="20"/>
          <w:lang w:val="en-GB"/>
        </w:rPr>
        <w:t xml:space="preserve">Further, in the </w:t>
      </w:r>
      <w:r w:rsidRPr="00AB6AA7">
        <w:rPr>
          <w:rFonts w:ascii="Arial" w:hAnsi="Arial"/>
          <w:b/>
          <w:i/>
          <w:sz w:val="20"/>
          <w:szCs w:val="20"/>
          <w:lang w:val="en-GB"/>
        </w:rPr>
        <w:t>Supreme Court of Canada</w:t>
      </w:r>
      <w:r w:rsidRPr="00AB6AA7">
        <w:rPr>
          <w:rFonts w:ascii="Arial" w:hAnsi="Arial"/>
          <w:sz w:val="20"/>
          <w:szCs w:val="20"/>
          <w:lang w:val="en-GB"/>
        </w:rPr>
        <w:t xml:space="preserve"> </w:t>
      </w:r>
      <w:r w:rsidRPr="00AB6AA7">
        <w:rPr>
          <w:rFonts w:ascii="Arial" w:hAnsi="Arial"/>
          <w:b/>
          <w:i/>
          <w:sz w:val="20"/>
          <w:szCs w:val="20"/>
          <w:lang w:val="en-GB"/>
        </w:rPr>
        <w:t>Kamloops (City of) v Nielsen, [1984] 2 S.C.R.</w:t>
      </w:r>
      <w:r w:rsidRPr="00AB6AA7">
        <w:rPr>
          <w:rFonts w:ascii="Arial" w:hAnsi="Arial"/>
          <w:sz w:val="20"/>
          <w:szCs w:val="20"/>
          <w:lang w:val="en-GB"/>
        </w:rPr>
        <w:t>, the court found that it is possible to sue governments for lack of proper enforcement of its policies.</w:t>
      </w:r>
    </w:p>
    <w:p w14:paraId="627B4D63" w14:textId="77777777" w:rsidR="008F2366" w:rsidRPr="00AB6AA7" w:rsidRDefault="008F2366" w:rsidP="008F2366">
      <w:pPr>
        <w:rPr>
          <w:rFonts w:ascii="Arial" w:hAnsi="Arial"/>
          <w:sz w:val="20"/>
          <w:szCs w:val="20"/>
          <w:lang w:val="en-GB"/>
        </w:rPr>
      </w:pPr>
    </w:p>
    <w:p w14:paraId="2F54B804" w14:textId="77777777" w:rsidR="005F5D3A" w:rsidRPr="00AB6AA7" w:rsidRDefault="008F2366" w:rsidP="005F5D3A">
      <w:pPr>
        <w:rPr>
          <w:rFonts w:ascii="Arial" w:hAnsi="Arial"/>
          <w:sz w:val="20"/>
          <w:szCs w:val="20"/>
          <w:lang w:val="en-GB"/>
        </w:rPr>
      </w:pPr>
      <w:r w:rsidRPr="00AB6AA7">
        <w:rPr>
          <w:rFonts w:ascii="Arial" w:hAnsi="Arial"/>
          <w:sz w:val="20"/>
          <w:szCs w:val="20"/>
          <w:lang w:val="en-GB"/>
        </w:rPr>
        <w:t xml:space="preserve">As stated in </w:t>
      </w:r>
      <w:r w:rsidRPr="00AB6AA7">
        <w:rPr>
          <w:rFonts w:ascii="Arial" w:hAnsi="Arial"/>
          <w:i/>
          <w:sz w:val="20"/>
          <w:szCs w:val="20"/>
          <w:lang w:val="en-GB"/>
        </w:rPr>
        <w:t>“An Audit of Compliance and Enforcement of the Mining Sector</w:t>
      </w:r>
      <w:r w:rsidRPr="00AB6AA7">
        <w:rPr>
          <w:rFonts w:ascii="Arial" w:hAnsi="Arial"/>
          <w:sz w:val="20"/>
          <w:szCs w:val="20"/>
          <w:lang w:val="en-GB"/>
        </w:rPr>
        <w:t>”</w:t>
      </w:r>
      <w:r w:rsidRPr="00AB6AA7">
        <w:rPr>
          <w:rFonts w:ascii="Arial" w:hAnsi="Arial"/>
          <w:b/>
          <w:sz w:val="20"/>
          <w:szCs w:val="20"/>
          <w:lang w:val="en-GB"/>
        </w:rPr>
        <w:t xml:space="preserve"> </w:t>
      </w:r>
      <w:r w:rsidRPr="00AB6AA7">
        <w:rPr>
          <w:rFonts w:ascii="Arial" w:hAnsi="Arial"/>
          <w:sz w:val="20"/>
          <w:szCs w:val="20"/>
          <w:lang w:val="en-GB"/>
        </w:rPr>
        <w:t>prepared by</w:t>
      </w:r>
      <w:r w:rsidRPr="00AB6AA7">
        <w:rPr>
          <w:rFonts w:ascii="Arial" w:hAnsi="Arial"/>
          <w:b/>
          <w:sz w:val="20"/>
          <w:szCs w:val="20"/>
          <w:lang w:val="en-GB"/>
        </w:rPr>
        <w:t xml:space="preserve"> BC’s Auditor General in May, 2016</w:t>
      </w:r>
      <w:r w:rsidRPr="00AB6AA7">
        <w:rPr>
          <w:rFonts w:ascii="Arial" w:hAnsi="Arial"/>
          <w:sz w:val="20"/>
          <w:szCs w:val="20"/>
          <w:lang w:val="en-GB"/>
        </w:rPr>
        <w:t xml:space="preserve">, “[MEM] must ensure the mine is designed, built, operated and reclaimed to an acceptable standard.” BC’s Auditor General found that MEM failed to enforce the law or to apply its policies, at the very least in connection to the slope design and water level of the TSF. As such, it appears that the Province is equally responsible for the failure through its inability and/or unwillingness to enforce the applicable laws and regulations. </w:t>
      </w:r>
      <w:r w:rsidR="005F5D3A" w:rsidRPr="00AB6AA7">
        <w:rPr>
          <w:rFonts w:ascii="Arial" w:hAnsi="Arial"/>
          <w:sz w:val="20"/>
          <w:szCs w:val="20"/>
          <w:lang w:val="en-GB"/>
        </w:rPr>
        <w:t>Here are some excerpts from her report:</w:t>
      </w:r>
    </w:p>
    <w:p w14:paraId="60243E41" w14:textId="77777777" w:rsidR="00E662F0" w:rsidRPr="00AB6AA7" w:rsidRDefault="00E662F0" w:rsidP="00E662F0">
      <w:pPr>
        <w:rPr>
          <w:rFonts w:ascii="Arial" w:hAnsi="Arial"/>
          <w:bCs/>
          <w:sz w:val="20"/>
          <w:szCs w:val="20"/>
          <w:lang w:val="en-GB"/>
        </w:rPr>
      </w:pPr>
    </w:p>
    <w:p w14:paraId="6975246B" w14:textId="77777777" w:rsidR="00E662F0" w:rsidRPr="00AB6AA7" w:rsidRDefault="00E662F0" w:rsidP="00E662F0">
      <w:pPr>
        <w:jc w:val="center"/>
        <w:rPr>
          <w:rFonts w:ascii="Arial" w:hAnsi="Arial"/>
          <w:bCs/>
          <w:i/>
          <w:sz w:val="20"/>
          <w:szCs w:val="20"/>
          <w:lang w:val="en-GB"/>
        </w:rPr>
      </w:pPr>
      <w:r w:rsidRPr="00AB6AA7">
        <w:rPr>
          <w:rFonts w:ascii="Arial" w:hAnsi="Arial"/>
          <w:bCs/>
          <w:i/>
          <w:sz w:val="20"/>
          <w:szCs w:val="20"/>
          <w:lang w:val="en-GB"/>
        </w:rPr>
        <w:t>"The Stage 5 design, approved by MEM in 2006, allowed the amended design to include a steeper “interim slope” of 1.4 horizontal to 1 vertical (1.4H:1V) for the Main and Perimeter embankments. The mine operator stated that this interim 1.4H:1V slope would be returned to the more moderate 2H:1V</w:t>
      </w:r>
    </w:p>
    <w:p w14:paraId="4E0310C9" w14:textId="77777777" w:rsidR="00E662F0" w:rsidRPr="00AB6AA7" w:rsidRDefault="00E662F0" w:rsidP="00E662F0">
      <w:pPr>
        <w:jc w:val="center"/>
        <w:rPr>
          <w:rFonts w:ascii="Arial" w:hAnsi="Arial"/>
          <w:bCs/>
          <w:i/>
          <w:sz w:val="20"/>
          <w:szCs w:val="20"/>
          <w:lang w:val="en-GB"/>
        </w:rPr>
      </w:pPr>
      <w:r w:rsidRPr="00AB6AA7">
        <w:rPr>
          <w:rFonts w:ascii="Arial" w:hAnsi="Arial"/>
          <w:bCs/>
          <w:i/>
          <w:sz w:val="20"/>
          <w:szCs w:val="20"/>
          <w:lang w:val="en-GB"/>
        </w:rPr>
        <w:t>slope once the stage 5 lift was completed. We expected that MEM would have ensured compliance with</w:t>
      </w:r>
    </w:p>
    <w:p w14:paraId="66A7C8C8" w14:textId="77777777" w:rsidR="00E662F0" w:rsidRPr="00AB6AA7" w:rsidRDefault="00E662F0" w:rsidP="00E662F0">
      <w:pPr>
        <w:jc w:val="center"/>
        <w:rPr>
          <w:rFonts w:ascii="Arial" w:hAnsi="Arial"/>
          <w:bCs/>
          <w:i/>
          <w:sz w:val="20"/>
          <w:szCs w:val="20"/>
          <w:lang w:val="en-GB"/>
        </w:rPr>
      </w:pPr>
      <w:r w:rsidRPr="00AB6AA7">
        <w:rPr>
          <w:rFonts w:ascii="Arial" w:hAnsi="Arial"/>
          <w:bCs/>
          <w:i/>
          <w:sz w:val="20"/>
          <w:szCs w:val="20"/>
          <w:lang w:val="en-GB"/>
        </w:rPr>
        <w:t>this permitted design – the return to a 2H:1V slope. Instead, the mine operator never flattened the slope,</w:t>
      </w:r>
    </w:p>
    <w:p w14:paraId="4DCE91B9" w14:textId="77777777" w:rsidR="00E662F0" w:rsidRPr="00AB6AA7" w:rsidRDefault="00E662F0" w:rsidP="00E662F0">
      <w:pPr>
        <w:jc w:val="center"/>
        <w:rPr>
          <w:rFonts w:ascii="Arial" w:hAnsi="Arial"/>
          <w:b/>
          <w:bCs/>
          <w:i/>
          <w:sz w:val="20"/>
          <w:szCs w:val="20"/>
          <w:lang w:val="en-GB"/>
        </w:rPr>
      </w:pPr>
      <w:r w:rsidRPr="00AB6AA7">
        <w:rPr>
          <w:rFonts w:ascii="Arial" w:hAnsi="Arial"/>
          <w:bCs/>
          <w:i/>
          <w:sz w:val="20"/>
          <w:szCs w:val="20"/>
          <w:lang w:val="en-GB"/>
        </w:rPr>
        <w:t xml:space="preserve">and MEM continued to approve subsequent dam raises [...] </w:t>
      </w:r>
      <w:r w:rsidRPr="00AB6AA7">
        <w:rPr>
          <w:rFonts w:ascii="Arial" w:hAnsi="Arial"/>
          <w:b/>
          <w:bCs/>
          <w:i/>
          <w:sz w:val="20"/>
          <w:szCs w:val="20"/>
          <w:lang w:val="en-GB"/>
        </w:rPr>
        <w:t>MEM’s inspection procedures require at</w:t>
      </w:r>
    </w:p>
    <w:p w14:paraId="08B943B9" w14:textId="77777777" w:rsidR="005F5D3A" w:rsidRPr="00AB6AA7" w:rsidRDefault="00E662F0" w:rsidP="00E662F0">
      <w:pPr>
        <w:jc w:val="center"/>
        <w:rPr>
          <w:rFonts w:ascii="Arial" w:hAnsi="Arial"/>
          <w:bCs/>
          <w:i/>
          <w:sz w:val="20"/>
          <w:szCs w:val="20"/>
          <w:lang w:val="en-GB"/>
        </w:rPr>
      </w:pPr>
      <w:r w:rsidRPr="00AB6AA7">
        <w:rPr>
          <w:rFonts w:ascii="Arial" w:hAnsi="Arial"/>
          <w:b/>
          <w:bCs/>
          <w:i/>
          <w:sz w:val="20"/>
          <w:szCs w:val="20"/>
          <w:lang w:val="en-GB"/>
        </w:rPr>
        <w:t>least one geotechnical inspection per year; however, no such inspection were carried out for 2009, 2010 and 2011.</w:t>
      </w:r>
      <w:r w:rsidRPr="00AB6AA7">
        <w:rPr>
          <w:rFonts w:ascii="Arial" w:hAnsi="Arial"/>
          <w:bCs/>
          <w:i/>
          <w:sz w:val="20"/>
          <w:szCs w:val="20"/>
          <w:lang w:val="en-GB"/>
        </w:rPr>
        <w:t xml:space="preserve"> </w:t>
      </w:r>
      <w:r w:rsidRPr="00AB6AA7">
        <w:rPr>
          <w:rFonts w:ascii="Arial" w:hAnsi="Arial"/>
          <w:b/>
          <w:bCs/>
          <w:i/>
          <w:sz w:val="20"/>
          <w:szCs w:val="20"/>
          <w:lang w:val="en-GB"/>
        </w:rPr>
        <w:t>The result was that the steep slope was allowed to persist, reaching a level that was described by the panel as “unprecedented”…</w:t>
      </w:r>
      <w:r w:rsidRPr="00AB6AA7">
        <w:rPr>
          <w:rFonts w:ascii="Arial" w:hAnsi="Arial"/>
          <w:bCs/>
          <w:i/>
          <w:sz w:val="20"/>
          <w:szCs w:val="20"/>
          <w:lang w:val="en-GB"/>
        </w:rPr>
        <w:t xml:space="preserve"> </w:t>
      </w:r>
      <w:r w:rsidRPr="00AB6AA7">
        <w:rPr>
          <w:rFonts w:ascii="Arial" w:hAnsi="Arial"/>
          <w:b/>
          <w:bCs/>
          <w:i/>
          <w:sz w:val="20"/>
          <w:szCs w:val="20"/>
          <w:lang w:val="en-GB"/>
        </w:rPr>
        <w:t>As the regulator, it was MEM’s responsibility to ensure that the dam was being built as designed, including with the intended embankment slope. This, MEM did not do.</w:t>
      </w:r>
      <w:r w:rsidRPr="00AB6AA7">
        <w:rPr>
          <w:rFonts w:ascii="Arial" w:hAnsi="Arial"/>
          <w:bCs/>
          <w:i/>
          <w:sz w:val="20"/>
          <w:szCs w:val="20"/>
          <w:lang w:val="en-GB"/>
        </w:rPr>
        <w:t xml:space="preserve">” </w:t>
      </w:r>
    </w:p>
    <w:p w14:paraId="4667B7B2" w14:textId="77777777" w:rsidR="005F5D3A" w:rsidRPr="00AB6AA7" w:rsidRDefault="005F5D3A" w:rsidP="005F5D3A">
      <w:pPr>
        <w:jc w:val="right"/>
        <w:rPr>
          <w:rFonts w:ascii="Arial" w:hAnsi="Arial"/>
          <w:bCs/>
          <w:i/>
          <w:sz w:val="20"/>
          <w:szCs w:val="20"/>
          <w:lang w:val="en-GB"/>
        </w:rPr>
      </w:pPr>
      <w:r w:rsidRPr="00AB6AA7">
        <w:rPr>
          <w:rFonts w:ascii="Arial" w:hAnsi="Arial"/>
          <w:bCs/>
          <w:i/>
          <w:sz w:val="20"/>
          <w:szCs w:val="20"/>
          <w:lang w:val="en-GB"/>
        </w:rPr>
        <w:t>--BC Auditor General, May 2016 (pp.71-72)</w:t>
      </w:r>
    </w:p>
    <w:p w14:paraId="13FEF6F1" w14:textId="77777777" w:rsidR="00E662F0" w:rsidRPr="00AB6AA7" w:rsidRDefault="005F5D3A" w:rsidP="00E662F0">
      <w:pPr>
        <w:jc w:val="center"/>
        <w:rPr>
          <w:rFonts w:ascii="Arial" w:hAnsi="Arial"/>
          <w:bCs/>
          <w:i/>
          <w:sz w:val="20"/>
          <w:szCs w:val="20"/>
          <w:lang w:val="en-GB"/>
        </w:rPr>
      </w:pPr>
      <w:r w:rsidRPr="00AB6AA7">
        <w:rPr>
          <w:rFonts w:ascii="Arial" w:hAnsi="Arial"/>
          <w:bCs/>
          <w:i/>
          <w:sz w:val="20"/>
          <w:szCs w:val="20"/>
          <w:lang w:val="en-GB"/>
        </w:rPr>
        <w:t xml:space="preserve"> </w:t>
      </w:r>
    </w:p>
    <w:p w14:paraId="375435C5" w14:textId="77777777" w:rsidR="00E662F0" w:rsidRPr="00AB6AA7" w:rsidRDefault="005F5D3A" w:rsidP="00E662F0">
      <w:pPr>
        <w:jc w:val="center"/>
        <w:rPr>
          <w:rFonts w:ascii="Arial" w:hAnsi="Arial"/>
          <w:bCs/>
          <w:i/>
          <w:sz w:val="20"/>
          <w:szCs w:val="20"/>
          <w:lang w:val="en-GB"/>
        </w:rPr>
      </w:pPr>
      <w:r w:rsidRPr="00AB6AA7">
        <w:rPr>
          <w:rFonts w:ascii="Arial" w:hAnsi="Arial"/>
          <w:bCs/>
          <w:i/>
          <w:sz w:val="20"/>
          <w:szCs w:val="20"/>
          <w:lang w:val="en-GB"/>
        </w:rPr>
        <w:t xml:space="preserve"> </w:t>
      </w:r>
      <w:r w:rsidR="00E662F0" w:rsidRPr="00AB6AA7">
        <w:rPr>
          <w:rFonts w:ascii="Arial" w:hAnsi="Arial"/>
          <w:bCs/>
          <w:i/>
          <w:sz w:val="20"/>
          <w:szCs w:val="20"/>
          <w:lang w:val="en-GB"/>
        </w:rPr>
        <w:t>“</w:t>
      </w:r>
      <w:r w:rsidR="00E662F0" w:rsidRPr="00AB6AA7">
        <w:rPr>
          <w:rFonts w:ascii="Arial" w:hAnsi="Arial"/>
          <w:b/>
          <w:bCs/>
          <w:i/>
          <w:sz w:val="20"/>
          <w:szCs w:val="20"/>
          <w:lang w:val="en-GB"/>
        </w:rPr>
        <w:t>MEM did not enforce the development of an adequate tailings beach...</w:t>
      </w:r>
      <w:r w:rsidR="00E662F0" w:rsidRPr="00AB6AA7">
        <w:rPr>
          <w:rFonts w:ascii="Arial" w:hAnsi="Arial"/>
          <w:bCs/>
          <w:i/>
          <w:sz w:val="20"/>
          <w:szCs w:val="20"/>
          <w:lang w:val="en-GB"/>
        </w:rPr>
        <w:t xml:space="preserve"> The Dam Safety Review in 2006 noted a lack of adequate beach development that represented “a deficiency that should be rectified as soon as practical.” The report further explained at length that adequate beaches along all the embankments are generally considered an integral requirement of the design. The report included a recommendation for the mine to “aggressively create a beach.” In 2008, a MEM geotechnical inspector identified the lack of tailings beach at the Main Embankment. It was noted as a deficiency that contravened the permitted design, and an enforcement order was issued [...]. We did not find evidence that MEM followed up on the order from the 2008 inspection report. Two years later, in the 2010 Annual Dam Safety Inspection Report sent to MEM, the mine operator was reminded of the beach deficiency, again, by the EOR [...] We did not find evidence that MEM enforced the 2010 recommendation of the EOR. No further MEM inspections took place until 2012. As the regulator, it was MEM’s responsibility to</w:t>
      </w:r>
    </w:p>
    <w:p w14:paraId="349FA594" w14:textId="77777777" w:rsidR="005F5D3A" w:rsidRPr="00AB6AA7" w:rsidRDefault="00E662F0" w:rsidP="00E662F0">
      <w:pPr>
        <w:jc w:val="center"/>
        <w:rPr>
          <w:rFonts w:ascii="Arial" w:hAnsi="Arial"/>
          <w:bCs/>
          <w:i/>
          <w:sz w:val="20"/>
          <w:szCs w:val="20"/>
          <w:lang w:val="en-GB"/>
        </w:rPr>
      </w:pPr>
      <w:r w:rsidRPr="00AB6AA7">
        <w:rPr>
          <w:rFonts w:ascii="Arial" w:hAnsi="Arial"/>
          <w:bCs/>
          <w:i/>
          <w:sz w:val="20"/>
          <w:szCs w:val="20"/>
          <w:lang w:val="en-GB"/>
        </w:rPr>
        <w:t xml:space="preserve">ensure that the dam was being built as designed, including with the intended tailings beach. </w:t>
      </w:r>
      <w:r w:rsidRPr="00AB6AA7">
        <w:rPr>
          <w:rFonts w:ascii="Arial" w:hAnsi="Arial"/>
          <w:b/>
          <w:bCs/>
          <w:i/>
          <w:sz w:val="20"/>
          <w:szCs w:val="20"/>
          <w:lang w:val="en-GB"/>
        </w:rPr>
        <w:t>MEM did not provide adequate oversight and enforce the requirement to consistently maintain a wide tailings beach against all the embankments.”</w:t>
      </w:r>
      <w:r w:rsidRPr="00AB6AA7">
        <w:rPr>
          <w:rFonts w:ascii="Arial" w:hAnsi="Arial"/>
          <w:bCs/>
          <w:i/>
          <w:sz w:val="20"/>
          <w:szCs w:val="20"/>
          <w:lang w:val="en-GB"/>
        </w:rPr>
        <w:t xml:space="preserve"> </w:t>
      </w:r>
    </w:p>
    <w:p w14:paraId="6B9FDE87" w14:textId="77777777" w:rsidR="00E662F0" w:rsidRPr="00AB6AA7" w:rsidRDefault="005F5D3A" w:rsidP="005F5D3A">
      <w:pPr>
        <w:jc w:val="right"/>
        <w:rPr>
          <w:rFonts w:ascii="Arial" w:hAnsi="Arial"/>
          <w:bCs/>
          <w:i/>
          <w:sz w:val="20"/>
          <w:szCs w:val="20"/>
          <w:lang w:val="en-GB"/>
        </w:rPr>
      </w:pPr>
      <w:r w:rsidRPr="00AB6AA7">
        <w:rPr>
          <w:rFonts w:ascii="Arial" w:hAnsi="Arial"/>
          <w:bCs/>
          <w:i/>
          <w:sz w:val="20"/>
          <w:szCs w:val="20"/>
          <w:lang w:val="en-GB"/>
        </w:rPr>
        <w:t xml:space="preserve">--BC Auditor General, May 2016 </w:t>
      </w:r>
      <w:r w:rsidR="00E662F0" w:rsidRPr="00AB6AA7">
        <w:rPr>
          <w:rFonts w:ascii="Arial" w:hAnsi="Arial"/>
          <w:bCs/>
          <w:i/>
          <w:sz w:val="20"/>
          <w:szCs w:val="20"/>
          <w:lang w:val="en-GB"/>
        </w:rPr>
        <w:t>(</w:t>
      </w:r>
      <w:r w:rsidRPr="00AB6AA7">
        <w:rPr>
          <w:rFonts w:ascii="Arial" w:hAnsi="Arial"/>
          <w:bCs/>
          <w:i/>
          <w:sz w:val="20"/>
          <w:szCs w:val="20"/>
          <w:lang w:val="en-GB"/>
        </w:rPr>
        <w:t>pp.</w:t>
      </w:r>
      <w:r w:rsidR="00E662F0" w:rsidRPr="00AB6AA7">
        <w:rPr>
          <w:rFonts w:ascii="Arial" w:hAnsi="Arial"/>
          <w:bCs/>
          <w:i/>
          <w:sz w:val="20"/>
          <w:szCs w:val="20"/>
          <w:lang w:val="en-GB"/>
        </w:rPr>
        <w:t>72-73)</w:t>
      </w:r>
    </w:p>
    <w:p w14:paraId="6F28D0FC" w14:textId="77777777" w:rsidR="00E662F0" w:rsidRPr="00AB6AA7" w:rsidRDefault="00E662F0" w:rsidP="00E662F0">
      <w:pPr>
        <w:rPr>
          <w:rFonts w:ascii="Arial" w:hAnsi="Arial"/>
          <w:bCs/>
          <w:sz w:val="20"/>
          <w:szCs w:val="20"/>
          <w:lang w:val="en-GB"/>
        </w:rPr>
      </w:pPr>
    </w:p>
    <w:p w14:paraId="0BE63BC7" w14:textId="77777777" w:rsidR="008F2366" w:rsidRPr="00AB6AA7" w:rsidRDefault="008F2366" w:rsidP="008F2366">
      <w:pPr>
        <w:rPr>
          <w:rFonts w:ascii="Arial" w:hAnsi="Arial"/>
          <w:sz w:val="20"/>
          <w:szCs w:val="20"/>
          <w:lang w:val="en-GB"/>
        </w:rPr>
      </w:pPr>
      <w:r w:rsidRPr="00AB6AA7">
        <w:rPr>
          <w:rFonts w:ascii="Arial" w:hAnsi="Arial"/>
          <w:sz w:val="20"/>
          <w:szCs w:val="20"/>
          <w:lang w:val="en-GB"/>
        </w:rPr>
        <w:t xml:space="preserve">The Auditor General, on pages 9, 66, and 76 of her report, also indicated that MEM inspections did not meet their policy. These inspections, had they occurred in accordance with MEM’s policy, would have alerted MEM that MPMC was not building or operating the tailings dam to the permitted design “and was raising the dam without any long-term planning”. </w:t>
      </w:r>
    </w:p>
    <w:p w14:paraId="1A8FE7E2" w14:textId="77777777" w:rsidR="00BC4B5D" w:rsidRPr="00AB6AA7" w:rsidRDefault="00BC4B5D" w:rsidP="0070772C">
      <w:pPr>
        <w:rPr>
          <w:rFonts w:ascii="Arial" w:hAnsi="Arial"/>
          <w:sz w:val="20"/>
          <w:szCs w:val="20"/>
          <w:lang w:val="en-GB"/>
        </w:rPr>
      </w:pPr>
    </w:p>
    <w:p w14:paraId="1DBF917C" w14:textId="77777777" w:rsidR="001D6704" w:rsidRPr="00AB6AA7" w:rsidRDefault="001D6704" w:rsidP="001D6704">
      <w:pPr>
        <w:rPr>
          <w:rFonts w:ascii="Arial" w:hAnsi="Arial"/>
          <w:bCs/>
          <w:sz w:val="20"/>
          <w:szCs w:val="20"/>
          <w:lang w:val="en-GB"/>
        </w:rPr>
      </w:pPr>
    </w:p>
    <w:p w14:paraId="593D075B" w14:textId="77777777" w:rsidR="004B09BB" w:rsidRPr="00AB6AA7" w:rsidRDefault="001D6704" w:rsidP="0044737B">
      <w:pPr>
        <w:pStyle w:val="Titre2"/>
        <w:rPr>
          <w:lang w:val="en-GB"/>
        </w:rPr>
      </w:pPr>
      <w:bookmarkStart w:id="10" w:name="_Toc464474242"/>
      <w:r w:rsidRPr="00AB6AA7">
        <w:rPr>
          <w:lang w:val="en-GB"/>
        </w:rPr>
        <w:t>6</w:t>
      </w:r>
      <w:r w:rsidR="004B09BB" w:rsidRPr="00AB6AA7">
        <w:rPr>
          <w:lang w:val="en-GB"/>
        </w:rPr>
        <w:t>. Private Prosecution under the Fisheries Act</w:t>
      </w:r>
      <w:bookmarkEnd w:id="10"/>
    </w:p>
    <w:p w14:paraId="15500893" w14:textId="77777777" w:rsidR="00484387" w:rsidRPr="00AB6AA7" w:rsidRDefault="00484387" w:rsidP="00484387">
      <w:pPr>
        <w:rPr>
          <w:rFonts w:ascii="Arial" w:hAnsi="Arial"/>
          <w:sz w:val="20"/>
          <w:szCs w:val="20"/>
          <w:lang w:val="en-GB"/>
        </w:rPr>
      </w:pPr>
      <w:r w:rsidRPr="00AB6AA7">
        <w:rPr>
          <w:rFonts w:ascii="Arial" w:hAnsi="Arial"/>
          <w:sz w:val="20"/>
          <w:szCs w:val="20"/>
          <w:lang w:val="en-GB"/>
        </w:rPr>
        <w:t xml:space="preserve"> </w:t>
      </w:r>
    </w:p>
    <w:p w14:paraId="3A65B310" w14:textId="77777777" w:rsidR="00730C55" w:rsidRPr="00AB6AA7" w:rsidRDefault="00484387" w:rsidP="00E66E0B">
      <w:pPr>
        <w:rPr>
          <w:rFonts w:ascii="Arial" w:hAnsi="Arial"/>
          <w:sz w:val="20"/>
          <w:szCs w:val="20"/>
          <w:lang w:val="en-GB"/>
        </w:rPr>
      </w:pPr>
      <w:r w:rsidRPr="00AB6AA7">
        <w:rPr>
          <w:rFonts w:ascii="Arial" w:hAnsi="Arial"/>
          <w:sz w:val="20"/>
          <w:szCs w:val="20"/>
          <w:lang w:val="en-GB"/>
        </w:rPr>
        <w:t xml:space="preserve">The Fisheries Act </w:t>
      </w:r>
      <w:r w:rsidR="00E66E0B" w:rsidRPr="00AB6AA7">
        <w:rPr>
          <w:rFonts w:ascii="Arial" w:hAnsi="Arial"/>
          <w:sz w:val="20"/>
          <w:szCs w:val="20"/>
          <w:lang w:val="en-GB"/>
        </w:rPr>
        <w:t>authorizes</w:t>
      </w:r>
      <w:r w:rsidRPr="00AB6AA7">
        <w:rPr>
          <w:rFonts w:ascii="Arial" w:hAnsi="Arial"/>
          <w:sz w:val="20"/>
          <w:szCs w:val="20"/>
          <w:lang w:val="en-GB"/>
        </w:rPr>
        <w:t>, under Criminal Code l</w:t>
      </w:r>
      <w:r w:rsidR="00E66E0B" w:rsidRPr="00AB6AA7">
        <w:rPr>
          <w:rFonts w:ascii="Arial" w:hAnsi="Arial"/>
          <w:sz w:val="20"/>
          <w:szCs w:val="20"/>
          <w:lang w:val="en-GB"/>
        </w:rPr>
        <w:t xml:space="preserve">aw, </w:t>
      </w:r>
      <w:r w:rsidR="00E66E0B" w:rsidRPr="00AB6AA7">
        <w:rPr>
          <w:rFonts w:ascii="Arial" w:hAnsi="Arial"/>
          <w:b/>
          <w:sz w:val="20"/>
          <w:szCs w:val="20"/>
          <w:lang w:val="en-GB"/>
        </w:rPr>
        <w:t xml:space="preserve">any </w:t>
      </w:r>
      <w:r w:rsidRPr="00AB6AA7">
        <w:rPr>
          <w:rFonts w:ascii="Arial" w:hAnsi="Arial"/>
          <w:b/>
          <w:sz w:val="20"/>
          <w:szCs w:val="20"/>
          <w:lang w:val="en-GB"/>
        </w:rPr>
        <w:t>citizen</w:t>
      </w:r>
      <w:r w:rsidRPr="00AB6AA7">
        <w:rPr>
          <w:rFonts w:ascii="Arial" w:hAnsi="Arial"/>
          <w:sz w:val="20"/>
          <w:szCs w:val="20"/>
          <w:lang w:val="en-GB"/>
        </w:rPr>
        <w:t xml:space="preserve"> </w:t>
      </w:r>
      <w:r w:rsidR="00E66E0B" w:rsidRPr="00AB6AA7">
        <w:rPr>
          <w:rFonts w:ascii="Arial" w:hAnsi="Arial"/>
          <w:sz w:val="20"/>
          <w:szCs w:val="20"/>
          <w:lang w:val="en-GB"/>
        </w:rPr>
        <w:t xml:space="preserve">to </w:t>
      </w:r>
      <w:r w:rsidRPr="00AB6AA7">
        <w:rPr>
          <w:rFonts w:ascii="Arial" w:hAnsi="Arial"/>
          <w:sz w:val="20"/>
          <w:szCs w:val="20"/>
          <w:lang w:val="en-GB"/>
        </w:rPr>
        <w:t xml:space="preserve">initiate a </w:t>
      </w:r>
      <w:r w:rsidR="00E66E0B" w:rsidRPr="00AB6AA7">
        <w:rPr>
          <w:rFonts w:ascii="Arial" w:hAnsi="Arial"/>
          <w:sz w:val="20"/>
          <w:szCs w:val="20"/>
          <w:lang w:val="en-GB"/>
        </w:rPr>
        <w:t xml:space="preserve">private </w:t>
      </w:r>
      <w:r w:rsidRPr="00AB6AA7">
        <w:rPr>
          <w:rFonts w:ascii="Arial" w:hAnsi="Arial"/>
          <w:sz w:val="20"/>
          <w:szCs w:val="20"/>
          <w:lang w:val="en-GB"/>
        </w:rPr>
        <w:t xml:space="preserve">prosecution if he or she believes, on reasonable grounds, that a person has committed an indictable offense. </w:t>
      </w:r>
    </w:p>
    <w:p w14:paraId="6A934779" w14:textId="77777777" w:rsidR="00730C55" w:rsidRPr="00AB6AA7" w:rsidRDefault="00730C55" w:rsidP="00E66E0B">
      <w:pPr>
        <w:rPr>
          <w:rFonts w:ascii="Arial" w:hAnsi="Arial"/>
          <w:sz w:val="20"/>
          <w:szCs w:val="20"/>
          <w:lang w:val="en-GB"/>
        </w:rPr>
      </w:pPr>
    </w:p>
    <w:p w14:paraId="2F29E4EB" w14:textId="77777777" w:rsidR="001528F7" w:rsidRPr="00AB6AA7" w:rsidRDefault="00E66E0B" w:rsidP="00E66E0B">
      <w:pPr>
        <w:rPr>
          <w:rFonts w:ascii="Arial" w:hAnsi="Arial"/>
          <w:sz w:val="20"/>
          <w:szCs w:val="20"/>
          <w:lang w:val="en-GB"/>
        </w:rPr>
      </w:pPr>
      <w:r w:rsidRPr="00AB6AA7">
        <w:rPr>
          <w:rFonts w:ascii="Arial" w:hAnsi="Arial"/>
          <w:sz w:val="20"/>
          <w:szCs w:val="20"/>
          <w:lang w:val="en-GB"/>
        </w:rPr>
        <w:t xml:space="preserve">The legislature has </w:t>
      </w:r>
      <w:r w:rsidR="00484387" w:rsidRPr="00AB6AA7">
        <w:rPr>
          <w:rFonts w:ascii="Arial" w:hAnsi="Arial"/>
          <w:sz w:val="20"/>
          <w:szCs w:val="20"/>
          <w:lang w:val="en-GB"/>
        </w:rPr>
        <w:t xml:space="preserve">specifically created an incentive for private persons to enforce the Fisheries Act </w:t>
      </w:r>
      <w:r w:rsidR="00484387" w:rsidRPr="00AB6AA7">
        <w:rPr>
          <w:rFonts w:ascii="Arial" w:hAnsi="Arial"/>
          <w:b/>
          <w:sz w:val="20"/>
          <w:szCs w:val="20"/>
          <w:lang w:val="en-GB"/>
        </w:rPr>
        <w:t>to ensure the protection of</w:t>
      </w:r>
      <w:r w:rsidR="001528F7" w:rsidRPr="00AB6AA7">
        <w:rPr>
          <w:rFonts w:ascii="Arial" w:hAnsi="Arial"/>
          <w:b/>
          <w:sz w:val="20"/>
          <w:szCs w:val="20"/>
          <w:lang w:val="en-GB"/>
        </w:rPr>
        <w:t xml:space="preserve"> </w:t>
      </w:r>
      <w:r w:rsidR="00484387" w:rsidRPr="00AB6AA7">
        <w:rPr>
          <w:rFonts w:ascii="Arial" w:hAnsi="Arial"/>
          <w:b/>
          <w:sz w:val="20"/>
          <w:szCs w:val="20"/>
          <w:lang w:val="en-GB"/>
        </w:rPr>
        <w:t>public resources such as fish and fish habitat</w:t>
      </w:r>
      <w:r w:rsidR="001528F7" w:rsidRPr="00AB6AA7">
        <w:rPr>
          <w:rFonts w:ascii="Arial" w:hAnsi="Arial"/>
          <w:b/>
          <w:sz w:val="20"/>
          <w:szCs w:val="20"/>
          <w:lang w:val="en-GB"/>
        </w:rPr>
        <w:t>,</w:t>
      </w:r>
      <w:r w:rsidR="001528F7" w:rsidRPr="00AB6AA7">
        <w:rPr>
          <w:rFonts w:ascii="Arial" w:hAnsi="Arial"/>
          <w:sz w:val="20"/>
          <w:szCs w:val="20"/>
          <w:lang w:val="en-GB"/>
        </w:rPr>
        <w:t xml:space="preserve"> even if against the Federal and Provincial Crown. </w:t>
      </w:r>
      <w:r w:rsidRPr="00AB6AA7">
        <w:rPr>
          <w:rFonts w:ascii="Arial" w:hAnsi="Arial"/>
          <w:sz w:val="20"/>
          <w:szCs w:val="20"/>
          <w:lang w:val="en-GB"/>
        </w:rPr>
        <w:t xml:space="preserve">The </w:t>
      </w:r>
      <w:r w:rsidRPr="00AB6AA7">
        <w:rPr>
          <w:rFonts w:ascii="Arial" w:hAnsi="Arial"/>
          <w:i/>
          <w:sz w:val="20"/>
          <w:szCs w:val="20"/>
          <w:lang w:val="en-GB"/>
        </w:rPr>
        <w:t>Public Prosecution Service of Canada Deskbook</w:t>
      </w:r>
      <w:r w:rsidRPr="00AB6AA7">
        <w:rPr>
          <w:rFonts w:ascii="Arial" w:hAnsi="Arial"/>
          <w:sz w:val="20"/>
          <w:szCs w:val="20"/>
          <w:lang w:val="en-GB"/>
        </w:rPr>
        <w:t xml:space="preserve"> notes that private prosecutions are</w:t>
      </w:r>
      <w:r w:rsidRPr="00AB6AA7">
        <w:rPr>
          <w:rFonts w:ascii="Arial" w:hAnsi="Arial"/>
          <w:b/>
          <w:sz w:val="20"/>
          <w:szCs w:val="20"/>
          <w:lang w:val="en-GB"/>
        </w:rPr>
        <w:t xml:space="preserve"> “a valuable constitutional safeguard</w:t>
      </w:r>
      <w:r w:rsidR="001528F7" w:rsidRPr="00AB6AA7">
        <w:rPr>
          <w:rFonts w:ascii="Arial" w:hAnsi="Arial"/>
          <w:b/>
          <w:sz w:val="20"/>
          <w:szCs w:val="20"/>
          <w:lang w:val="en-GB"/>
        </w:rPr>
        <w:t xml:space="preserve"> </w:t>
      </w:r>
      <w:r w:rsidRPr="00AB6AA7">
        <w:rPr>
          <w:rFonts w:ascii="Arial" w:hAnsi="Arial"/>
          <w:b/>
          <w:sz w:val="20"/>
          <w:szCs w:val="20"/>
          <w:lang w:val="en-GB"/>
        </w:rPr>
        <w:t>against inertia</w:t>
      </w:r>
      <w:r w:rsidR="001528F7" w:rsidRPr="00AB6AA7">
        <w:rPr>
          <w:rFonts w:ascii="Arial" w:hAnsi="Arial"/>
          <w:b/>
          <w:sz w:val="20"/>
          <w:szCs w:val="20"/>
          <w:lang w:val="en-GB"/>
        </w:rPr>
        <w:t xml:space="preserve"> or </w:t>
      </w:r>
      <w:r w:rsidRPr="00AB6AA7">
        <w:rPr>
          <w:rFonts w:ascii="Arial" w:hAnsi="Arial"/>
          <w:b/>
          <w:sz w:val="20"/>
          <w:szCs w:val="20"/>
          <w:lang w:val="en-GB"/>
        </w:rPr>
        <w:t>partiality</w:t>
      </w:r>
      <w:r w:rsidR="001528F7" w:rsidRPr="00AB6AA7">
        <w:rPr>
          <w:rFonts w:ascii="Arial" w:hAnsi="Arial"/>
          <w:b/>
          <w:sz w:val="20"/>
          <w:szCs w:val="20"/>
          <w:lang w:val="en-GB"/>
        </w:rPr>
        <w:t xml:space="preserve"> on the part of authorities.”</w:t>
      </w:r>
    </w:p>
    <w:p w14:paraId="753FDDCA" w14:textId="77777777" w:rsidR="00730C55" w:rsidRPr="00AB6AA7" w:rsidRDefault="00730C55" w:rsidP="00730C55">
      <w:pPr>
        <w:rPr>
          <w:rFonts w:ascii="Arial" w:hAnsi="Arial"/>
          <w:sz w:val="20"/>
          <w:szCs w:val="20"/>
          <w:lang w:val="en-GB"/>
        </w:rPr>
      </w:pPr>
    </w:p>
    <w:p w14:paraId="2E2C8718" w14:textId="06C65211" w:rsidR="00730C55" w:rsidRPr="00AB6AA7" w:rsidRDefault="00730C55" w:rsidP="00730C55">
      <w:pPr>
        <w:rPr>
          <w:rFonts w:ascii="Arial" w:hAnsi="Arial"/>
          <w:iCs/>
          <w:sz w:val="20"/>
          <w:szCs w:val="20"/>
          <w:lang w:val="en-GB"/>
        </w:rPr>
      </w:pPr>
      <w:r w:rsidRPr="00AB6AA7">
        <w:rPr>
          <w:rFonts w:ascii="Arial" w:hAnsi="Arial"/>
          <w:b/>
          <w:sz w:val="20"/>
          <w:szCs w:val="20"/>
          <w:lang w:val="en-GB"/>
        </w:rPr>
        <w:t>Private prosecutions have successfully been used in the past in order to bring Fisheries Act violations to the Crown counsel in BC</w:t>
      </w:r>
      <w:r w:rsidRPr="00AB6AA7">
        <w:rPr>
          <w:rFonts w:ascii="Arial" w:hAnsi="Arial"/>
          <w:sz w:val="20"/>
          <w:szCs w:val="20"/>
          <w:lang w:val="en-GB"/>
        </w:rPr>
        <w:t xml:space="preserve">. In 2009, biologist Alexandra Morton laid private charges against fish farm company Marine Harvest Canada for illegal possession of wild juvenile salmon. The Department of Justice took over the case in 2012 and Marine Harvest plead guilty. More recently, in 2014, private charges against Executive Fuel Flight Services Ltd. were approved in relation to a spill of 33,000 </w:t>
      </w:r>
      <w:r w:rsidR="009059F4" w:rsidRPr="00AB6AA7">
        <w:rPr>
          <w:rFonts w:ascii="Arial" w:hAnsi="Arial"/>
          <w:sz w:val="20"/>
          <w:szCs w:val="20"/>
          <w:lang w:val="en-GB"/>
        </w:rPr>
        <w:t>lit</w:t>
      </w:r>
      <w:r w:rsidR="009059F4">
        <w:rPr>
          <w:rFonts w:ascii="Arial" w:hAnsi="Arial"/>
          <w:sz w:val="20"/>
          <w:szCs w:val="20"/>
          <w:lang w:val="en-GB"/>
        </w:rPr>
        <w:t>re</w:t>
      </w:r>
      <w:r w:rsidR="009059F4" w:rsidRPr="00AB6AA7">
        <w:rPr>
          <w:rFonts w:ascii="Arial" w:hAnsi="Arial"/>
          <w:sz w:val="20"/>
          <w:szCs w:val="20"/>
          <w:lang w:val="en-GB"/>
        </w:rPr>
        <w:t xml:space="preserve">s </w:t>
      </w:r>
      <w:r w:rsidRPr="00AB6AA7">
        <w:rPr>
          <w:rFonts w:ascii="Arial" w:hAnsi="Arial"/>
          <w:sz w:val="20"/>
          <w:szCs w:val="20"/>
          <w:lang w:val="en-GB"/>
        </w:rPr>
        <w:t xml:space="preserve">of jet fuel into Lemon Creek. The federal Crown took over the case and </w:t>
      </w:r>
      <w:r w:rsidRPr="00AB6AA7">
        <w:rPr>
          <w:rFonts w:ascii="Arial" w:hAnsi="Arial"/>
          <w:iCs/>
          <w:sz w:val="20"/>
          <w:szCs w:val="20"/>
          <w:lang w:val="en-GB"/>
        </w:rPr>
        <w:t>a trial is tentatively scheduled to begin in December, 2016.</w:t>
      </w:r>
    </w:p>
    <w:p w14:paraId="7D476F2B" w14:textId="77777777" w:rsidR="00730C55" w:rsidRPr="00AB6AA7" w:rsidRDefault="00730C55" w:rsidP="00730C55">
      <w:pPr>
        <w:rPr>
          <w:rFonts w:ascii="Arial" w:hAnsi="Arial"/>
          <w:sz w:val="20"/>
          <w:szCs w:val="20"/>
          <w:lang w:val="en-GB"/>
        </w:rPr>
      </w:pPr>
    </w:p>
    <w:p w14:paraId="3880C174" w14:textId="77777777" w:rsidR="0026442A" w:rsidRPr="00AB6AA7" w:rsidRDefault="0026442A" w:rsidP="0026442A">
      <w:pPr>
        <w:rPr>
          <w:rFonts w:ascii="Arial" w:hAnsi="Arial"/>
          <w:sz w:val="20"/>
          <w:szCs w:val="20"/>
          <w:lang w:val="en-GB"/>
        </w:rPr>
      </w:pPr>
      <w:r w:rsidRPr="00AB6AA7">
        <w:rPr>
          <w:rFonts w:ascii="Arial" w:hAnsi="Arial"/>
          <w:sz w:val="20"/>
          <w:szCs w:val="20"/>
          <w:lang w:val="en-GB"/>
        </w:rPr>
        <w:t xml:space="preserve">There are, however, </w:t>
      </w:r>
      <w:r w:rsidRPr="00AB6AA7">
        <w:rPr>
          <w:rFonts w:ascii="Arial" w:hAnsi="Arial"/>
          <w:b/>
          <w:sz w:val="20"/>
          <w:szCs w:val="20"/>
          <w:lang w:val="en-GB"/>
        </w:rPr>
        <w:t>several potential downsides</w:t>
      </w:r>
      <w:r w:rsidRPr="00AB6AA7">
        <w:rPr>
          <w:rFonts w:ascii="Arial" w:hAnsi="Arial"/>
          <w:sz w:val="20"/>
          <w:szCs w:val="20"/>
          <w:lang w:val="en-GB"/>
        </w:rPr>
        <w:t xml:space="preserve"> to private prosecutions in the context of Fisheries Act violations. These may include the difficulty of obtaining some of the necessary evidence; the expense of conducting the prosecution for a person; and the possibility that the Crown may simply stay the charges. </w:t>
      </w:r>
    </w:p>
    <w:p w14:paraId="3E8A4A4B" w14:textId="77777777" w:rsidR="0026442A" w:rsidRPr="00AB6AA7" w:rsidRDefault="0026442A" w:rsidP="0026442A">
      <w:pPr>
        <w:rPr>
          <w:rFonts w:ascii="Arial" w:hAnsi="Arial"/>
          <w:sz w:val="20"/>
          <w:szCs w:val="20"/>
          <w:lang w:val="en-GB"/>
        </w:rPr>
      </w:pPr>
    </w:p>
    <w:p w14:paraId="5A510034" w14:textId="77777777" w:rsidR="00730C55" w:rsidRPr="00AB6AA7" w:rsidRDefault="00730C55" w:rsidP="00730C55">
      <w:pPr>
        <w:rPr>
          <w:rFonts w:ascii="Arial" w:hAnsi="Arial"/>
          <w:b/>
          <w:i/>
          <w:sz w:val="20"/>
          <w:szCs w:val="20"/>
          <w:lang w:val="en-GB"/>
        </w:rPr>
      </w:pPr>
      <w:r w:rsidRPr="00AB6AA7">
        <w:rPr>
          <w:rFonts w:ascii="Arial" w:hAnsi="Arial"/>
          <w:b/>
          <w:i/>
          <w:sz w:val="20"/>
          <w:szCs w:val="20"/>
          <w:lang w:val="en-GB"/>
        </w:rPr>
        <w:t>Process forward</w:t>
      </w:r>
    </w:p>
    <w:p w14:paraId="7081A660" w14:textId="77777777" w:rsidR="00730C55" w:rsidRPr="00AB6AA7" w:rsidRDefault="00730C55" w:rsidP="00730C55">
      <w:pPr>
        <w:rPr>
          <w:rFonts w:ascii="Arial" w:hAnsi="Arial"/>
          <w:sz w:val="20"/>
          <w:szCs w:val="20"/>
          <w:lang w:val="en-GB"/>
        </w:rPr>
      </w:pPr>
    </w:p>
    <w:p w14:paraId="38D8A8C3" w14:textId="1DB4788F" w:rsidR="00484387" w:rsidRPr="00AB6AA7" w:rsidRDefault="00484387" w:rsidP="00484387">
      <w:pPr>
        <w:rPr>
          <w:rFonts w:ascii="Arial" w:hAnsi="Arial"/>
          <w:sz w:val="20"/>
          <w:szCs w:val="20"/>
          <w:lang w:val="en-GB"/>
        </w:rPr>
      </w:pPr>
      <w:r w:rsidRPr="00AB6AA7">
        <w:rPr>
          <w:rFonts w:ascii="Arial" w:hAnsi="Arial"/>
          <w:sz w:val="20"/>
          <w:szCs w:val="20"/>
          <w:lang w:val="en-GB"/>
        </w:rPr>
        <w:t>Under Section 507.1 of the Criminal Code, a justice who receives a private information must refer it to a provincial court judge or designated justice, to consider whether to compel the appearance of the accused.</w:t>
      </w:r>
      <w:r w:rsidR="009059F4">
        <w:rPr>
          <w:rFonts w:ascii="Arial" w:hAnsi="Arial"/>
          <w:sz w:val="20"/>
          <w:szCs w:val="20"/>
          <w:lang w:val="en-GB"/>
        </w:rPr>
        <w:t xml:space="preserve"> </w:t>
      </w:r>
      <w:r w:rsidRPr="00AB6AA7">
        <w:rPr>
          <w:rFonts w:ascii="Arial" w:hAnsi="Arial"/>
          <w:sz w:val="20"/>
          <w:szCs w:val="20"/>
          <w:lang w:val="en-GB"/>
        </w:rPr>
        <w:t>A hearing is then held at which the judge or designated justice hears the allegations of the informant and the evidence of witnesses, and decides whether to issue a summons or warrant.</w:t>
      </w:r>
      <w:r w:rsidR="009059F4">
        <w:rPr>
          <w:rFonts w:ascii="Arial" w:hAnsi="Arial"/>
          <w:sz w:val="20"/>
          <w:szCs w:val="20"/>
          <w:lang w:val="en-GB"/>
        </w:rPr>
        <w:t xml:space="preserve"> </w:t>
      </w:r>
      <w:r w:rsidRPr="00AB6AA7">
        <w:rPr>
          <w:rFonts w:ascii="Arial" w:hAnsi="Arial"/>
          <w:sz w:val="20"/>
          <w:szCs w:val="20"/>
          <w:lang w:val="en-GB"/>
        </w:rPr>
        <w:t xml:space="preserve">The private informant must establish a prima facie case, meaning that they must show that there is “some evidence” on all of the essential elements of the offence. </w:t>
      </w:r>
    </w:p>
    <w:p w14:paraId="6ACF0C4A" w14:textId="77777777" w:rsidR="00484387" w:rsidRPr="00AB6AA7" w:rsidRDefault="00484387" w:rsidP="00484387">
      <w:pPr>
        <w:rPr>
          <w:rFonts w:ascii="Arial" w:hAnsi="Arial"/>
          <w:sz w:val="20"/>
          <w:szCs w:val="20"/>
          <w:lang w:val="en-GB"/>
        </w:rPr>
      </w:pPr>
    </w:p>
    <w:p w14:paraId="24176FB7" w14:textId="678DBDD6" w:rsidR="00484387" w:rsidRPr="00AB6AA7" w:rsidRDefault="00484387" w:rsidP="00484387">
      <w:pPr>
        <w:rPr>
          <w:rFonts w:ascii="Arial" w:hAnsi="Arial"/>
          <w:b/>
          <w:sz w:val="20"/>
          <w:szCs w:val="20"/>
          <w:lang w:val="en-GB"/>
        </w:rPr>
      </w:pPr>
      <w:r w:rsidRPr="00AB6AA7">
        <w:rPr>
          <w:rFonts w:ascii="Arial" w:hAnsi="Arial"/>
          <w:sz w:val="20"/>
          <w:szCs w:val="20"/>
          <w:lang w:val="en-GB"/>
        </w:rPr>
        <w:t>The Crown must be notified of the hearing and given a copy of the private information.</w:t>
      </w:r>
      <w:r w:rsidR="009059F4">
        <w:rPr>
          <w:rFonts w:ascii="Arial" w:hAnsi="Arial"/>
          <w:sz w:val="20"/>
          <w:szCs w:val="20"/>
          <w:lang w:val="en-GB"/>
        </w:rPr>
        <w:t xml:space="preserve"> </w:t>
      </w:r>
      <w:r w:rsidRPr="00AB6AA7">
        <w:rPr>
          <w:rFonts w:ascii="Arial" w:hAnsi="Arial"/>
          <w:sz w:val="20"/>
          <w:szCs w:val="20"/>
          <w:lang w:val="en-GB"/>
        </w:rPr>
        <w:t>Crown counsel may then attend the hearing, cross-examine and call witnesses, and present any relevant evidence.</w:t>
      </w:r>
      <w:r w:rsidR="009059F4">
        <w:rPr>
          <w:rFonts w:ascii="Arial" w:hAnsi="Arial"/>
          <w:sz w:val="20"/>
          <w:szCs w:val="20"/>
          <w:lang w:val="en-GB"/>
        </w:rPr>
        <w:t xml:space="preserve"> </w:t>
      </w:r>
      <w:r w:rsidRPr="00AB6AA7">
        <w:rPr>
          <w:rFonts w:ascii="Arial" w:hAnsi="Arial"/>
          <w:sz w:val="20"/>
          <w:szCs w:val="20"/>
          <w:lang w:val="en-GB"/>
        </w:rPr>
        <w:t xml:space="preserve">If, as a result of the hearing, the judge or designated justice decides to issue a summons or warrant, </w:t>
      </w:r>
      <w:r w:rsidRPr="00AB6AA7">
        <w:rPr>
          <w:rFonts w:ascii="Arial" w:hAnsi="Arial"/>
          <w:b/>
          <w:sz w:val="20"/>
          <w:szCs w:val="20"/>
          <w:lang w:val="en-GB"/>
        </w:rPr>
        <w:t>the Crown has the option of intervening in the proceedings and either taking over conduct of the prosecution or withdrawing the charges.</w:t>
      </w:r>
      <w:r w:rsidR="009059F4">
        <w:rPr>
          <w:rFonts w:ascii="Arial" w:hAnsi="Arial"/>
          <w:b/>
          <w:sz w:val="20"/>
          <w:szCs w:val="20"/>
          <w:lang w:val="en-GB"/>
        </w:rPr>
        <w:t xml:space="preserve"> </w:t>
      </w:r>
    </w:p>
    <w:p w14:paraId="32258AA2" w14:textId="77777777" w:rsidR="00484387" w:rsidRPr="00AB6AA7" w:rsidRDefault="00484387" w:rsidP="00484387">
      <w:pPr>
        <w:rPr>
          <w:rFonts w:ascii="Arial" w:hAnsi="Arial"/>
          <w:b/>
          <w:sz w:val="20"/>
          <w:szCs w:val="20"/>
          <w:lang w:val="en-GB"/>
        </w:rPr>
      </w:pPr>
    </w:p>
    <w:p w14:paraId="654449CF" w14:textId="45F51256" w:rsidR="00484387" w:rsidRPr="00AB6AA7" w:rsidRDefault="00484387" w:rsidP="00484387">
      <w:pPr>
        <w:rPr>
          <w:rFonts w:ascii="Arial" w:hAnsi="Arial"/>
          <w:sz w:val="20"/>
          <w:szCs w:val="20"/>
          <w:lang w:val="en-GB"/>
        </w:rPr>
      </w:pPr>
      <w:r w:rsidRPr="00AB6AA7">
        <w:rPr>
          <w:rFonts w:ascii="Arial" w:hAnsi="Arial"/>
          <w:sz w:val="20"/>
          <w:szCs w:val="20"/>
          <w:lang w:val="en-GB"/>
        </w:rPr>
        <w:t>The Deskbook suggests that Crown prosecutors should stay a private prosecution if there is insufficient evidence to show a reasonable likelihood of conviction, or if the prosecution is contrary to the public interest.</w:t>
      </w:r>
      <w:r w:rsidR="009059F4">
        <w:rPr>
          <w:rFonts w:ascii="Arial" w:hAnsi="Arial"/>
          <w:sz w:val="20"/>
          <w:szCs w:val="20"/>
          <w:lang w:val="en-GB"/>
        </w:rPr>
        <w:t xml:space="preserve"> </w:t>
      </w:r>
      <w:r w:rsidRPr="00AB6AA7">
        <w:rPr>
          <w:rFonts w:ascii="Arial" w:hAnsi="Arial"/>
          <w:b/>
          <w:sz w:val="20"/>
          <w:szCs w:val="20"/>
          <w:lang w:val="en-GB"/>
        </w:rPr>
        <w:t>If the charges are well-founded, Crown counsel must then decide whether to take over the prosecution or allow it to proceed on its own.</w:t>
      </w:r>
      <w:r w:rsidR="009059F4">
        <w:rPr>
          <w:rFonts w:ascii="Arial" w:hAnsi="Arial"/>
          <w:sz w:val="20"/>
          <w:szCs w:val="20"/>
          <w:lang w:val="en-GB"/>
        </w:rPr>
        <w:t xml:space="preserve"> </w:t>
      </w:r>
      <w:r w:rsidRPr="00AB6AA7">
        <w:rPr>
          <w:rFonts w:ascii="Arial" w:hAnsi="Arial"/>
          <w:sz w:val="20"/>
          <w:szCs w:val="20"/>
          <w:lang w:val="en-GB"/>
        </w:rPr>
        <w:t>This decision is made on a case-by-case basis.</w:t>
      </w:r>
      <w:r w:rsidR="009059F4">
        <w:rPr>
          <w:rFonts w:ascii="Arial" w:hAnsi="Arial"/>
          <w:sz w:val="20"/>
          <w:szCs w:val="20"/>
          <w:lang w:val="en-GB"/>
        </w:rPr>
        <w:t xml:space="preserve"> </w:t>
      </w:r>
      <w:r w:rsidRPr="00AB6AA7">
        <w:rPr>
          <w:rFonts w:ascii="Arial" w:hAnsi="Arial"/>
          <w:sz w:val="20"/>
          <w:szCs w:val="20"/>
          <w:lang w:val="en-GB"/>
        </w:rPr>
        <w:t xml:space="preserve">Relevant considerations include the seriousness of the offence and whether the private prosecutor lacks the capacity or funding to effectively carry the case forward. </w:t>
      </w:r>
    </w:p>
    <w:p w14:paraId="07D065B1" w14:textId="77777777" w:rsidR="00484387" w:rsidRPr="00AB6AA7" w:rsidRDefault="00484387" w:rsidP="00484387">
      <w:pPr>
        <w:rPr>
          <w:rFonts w:ascii="Arial" w:hAnsi="Arial"/>
          <w:sz w:val="20"/>
          <w:szCs w:val="20"/>
          <w:lang w:val="en-GB"/>
        </w:rPr>
      </w:pPr>
    </w:p>
    <w:p w14:paraId="60D9E275" w14:textId="77777777" w:rsidR="00CF683D" w:rsidRPr="00AB6AA7" w:rsidRDefault="00CF683D" w:rsidP="00CF683D">
      <w:pPr>
        <w:rPr>
          <w:rFonts w:ascii="Arial" w:hAnsi="Arial"/>
          <w:b/>
          <w:bCs/>
          <w:iCs/>
          <w:sz w:val="20"/>
          <w:szCs w:val="20"/>
          <w:lang w:val="en-GB"/>
        </w:rPr>
      </w:pPr>
      <w:r w:rsidRPr="00AB6AA7">
        <w:rPr>
          <w:rFonts w:ascii="Arial" w:hAnsi="Arial"/>
          <w:sz w:val="20"/>
          <w:szCs w:val="20"/>
          <w:lang w:val="en-GB"/>
        </w:rPr>
        <w:t xml:space="preserve">While MiningWatch has a legal team committed to carry the case to full trial, it also recognizes that </w:t>
      </w:r>
      <w:r w:rsidRPr="00AB6AA7">
        <w:rPr>
          <w:rFonts w:ascii="Arial" w:hAnsi="Arial"/>
          <w:bCs/>
          <w:iCs/>
          <w:sz w:val="20"/>
          <w:szCs w:val="20"/>
          <w:lang w:val="en-GB"/>
        </w:rPr>
        <w:t>the cost and expense associated with prosecuting a case against a large mining corporation and the Provincial Government can be immense. For this reason</w:t>
      </w:r>
      <w:r w:rsidRPr="00AB6AA7">
        <w:rPr>
          <w:rFonts w:ascii="Arial" w:hAnsi="Arial"/>
          <w:b/>
          <w:bCs/>
          <w:iCs/>
          <w:sz w:val="20"/>
          <w:szCs w:val="20"/>
          <w:lang w:val="en-GB"/>
        </w:rPr>
        <w:t xml:space="preserve">, MiningWatch will be asking for the Federal Crown to carry the prosecution forward in the hope that it will accept and use all of the means and resources at its disposal to do so. </w:t>
      </w:r>
    </w:p>
    <w:p w14:paraId="21D19452" w14:textId="77777777" w:rsidR="00CF683D" w:rsidRPr="00AB6AA7" w:rsidRDefault="00CF683D" w:rsidP="00484387">
      <w:pPr>
        <w:rPr>
          <w:rFonts w:ascii="Arial" w:hAnsi="Arial"/>
          <w:sz w:val="20"/>
          <w:szCs w:val="20"/>
          <w:lang w:val="en-GB"/>
        </w:rPr>
      </w:pPr>
    </w:p>
    <w:p w14:paraId="0033E443" w14:textId="77777777" w:rsidR="00036465" w:rsidRPr="00AB6AA7" w:rsidRDefault="00036465" w:rsidP="001D6704">
      <w:pPr>
        <w:rPr>
          <w:rFonts w:ascii="Arial" w:hAnsi="Arial"/>
          <w:sz w:val="20"/>
          <w:szCs w:val="20"/>
          <w:lang w:val="en-GB"/>
        </w:rPr>
      </w:pPr>
    </w:p>
    <w:p w14:paraId="61C882FA" w14:textId="77777777" w:rsidR="004B09BB" w:rsidRPr="00AB6AA7" w:rsidRDefault="001D6704" w:rsidP="0044737B">
      <w:pPr>
        <w:pStyle w:val="Titre2"/>
        <w:rPr>
          <w:lang w:val="en-GB"/>
        </w:rPr>
      </w:pPr>
      <w:bookmarkStart w:id="11" w:name="_Toc464474243"/>
      <w:r w:rsidRPr="00AB6AA7">
        <w:rPr>
          <w:lang w:val="en-GB"/>
        </w:rPr>
        <w:t>7</w:t>
      </w:r>
      <w:r w:rsidR="004B09BB" w:rsidRPr="00AB6AA7">
        <w:rPr>
          <w:lang w:val="en-GB"/>
        </w:rPr>
        <w:t>. Potential Sanctions &amp; Penalties</w:t>
      </w:r>
      <w:bookmarkEnd w:id="11"/>
    </w:p>
    <w:p w14:paraId="6455AA34" w14:textId="77777777" w:rsidR="004B09BB" w:rsidRPr="00AB6AA7" w:rsidRDefault="004B09BB" w:rsidP="001D6704">
      <w:pPr>
        <w:rPr>
          <w:rFonts w:ascii="Arial" w:hAnsi="Arial"/>
          <w:sz w:val="20"/>
          <w:szCs w:val="20"/>
          <w:lang w:val="en-GB"/>
        </w:rPr>
      </w:pPr>
    </w:p>
    <w:p w14:paraId="456F7F02" w14:textId="5096CB4E" w:rsidR="004B09BB" w:rsidRPr="00AB6AA7" w:rsidRDefault="004B09BB" w:rsidP="001D6704">
      <w:pPr>
        <w:rPr>
          <w:rFonts w:ascii="Arial" w:hAnsi="Arial"/>
          <w:sz w:val="20"/>
          <w:szCs w:val="20"/>
          <w:lang w:val="en-GB"/>
        </w:rPr>
      </w:pPr>
      <w:r w:rsidRPr="00AB6AA7">
        <w:rPr>
          <w:rFonts w:ascii="Arial" w:hAnsi="Arial"/>
          <w:sz w:val="20"/>
          <w:szCs w:val="20"/>
          <w:lang w:val="en-GB"/>
        </w:rPr>
        <w:t xml:space="preserve">Under subsections 40(1) and 40(2) of the </w:t>
      </w:r>
      <w:r w:rsidRPr="00AB6AA7">
        <w:rPr>
          <w:rFonts w:ascii="Arial" w:hAnsi="Arial"/>
          <w:i/>
          <w:iCs/>
          <w:sz w:val="20"/>
          <w:szCs w:val="20"/>
          <w:lang w:val="en-GB"/>
        </w:rPr>
        <w:t>Fisheries Act</w:t>
      </w:r>
      <w:r w:rsidRPr="00AB6AA7">
        <w:rPr>
          <w:rFonts w:ascii="Arial" w:hAnsi="Arial"/>
          <w:sz w:val="20"/>
          <w:szCs w:val="20"/>
          <w:lang w:val="en-GB"/>
        </w:rPr>
        <w:t>, a person who contravenes subsections 35(1) and/or 36(3) is guilty of an offence.</w:t>
      </w:r>
      <w:r w:rsidR="009059F4">
        <w:rPr>
          <w:rFonts w:ascii="Arial" w:hAnsi="Arial"/>
          <w:sz w:val="20"/>
          <w:szCs w:val="20"/>
          <w:lang w:val="en-GB"/>
        </w:rPr>
        <w:t xml:space="preserve"> </w:t>
      </w:r>
      <w:r w:rsidRPr="00AB6AA7">
        <w:rPr>
          <w:rFonts w:ascii="Arial" w:hAnsi="Arial"/>
          <w:sz w:val="20"/>
          <w:szCs w:val="20"/>
          <w:lang w:val="en-GB"/>
        </w:rPr>
        <w:t xml:space="preserve">If the person is a corporation, it is liable on conviction on indictment to a fine of </w:t>
      </w:r>
      <w:r w:rsidRPr="00AB6AA7">
        <w:rPr>
          <w:rFonts w:ascii="Arial" w:hAnsi="Arial"/>
          <w:b/>
          <w:sz w:val="20"/>
          <w:szCs w:val="20"/>
          <w:lang w:val="en-GB"/>
        </w:rPr>
        <w:t>$500,000 to $6,000,000</w:t>
      </w:r>
      <w:r w:rsidRPr="00AB6AA7">
        <w:rPr>
          <w:rFonts w:ascii="Arial" w:hAnsi="Arial"/>
          <w:sz w:val="20"/>
          <w:szCs w:val="20"/>
          <w:lang w:val="en-GB"/>
        </w:rPr>
        <w:t xml:space="preserve"> for a first offence, or $1,000,000 to $12,000,000 for a second or subsequent offence. Therefore, the maximum fine that could applied in this case would be </w:t>
      </w:r>
      <w:r w:rsidRPr="00AB6AA7">
        <w:rPr>
          <w:rFonts w:ascii="Arial" w:hAnsi="Arial"/>
          <w:b/>
          <w:bCs/>
          <w:sz w:val="20"/>
          <w:szCs w:val="20"/>
          <w:lang w:val="en-GB"/>
        </w:rPr>
        <w:t>$12</w:t>
      </w:r>
      <w:r w:rsidR="009059F4">
        <w:rPr>
          <w:rFonts w:ascii="Arial" w:hAnsi="Arial"/>
          <w:b/>
          <w:bCs/>
          <w:sz w:val="20"/>
          <w:szCs w:val="20"/>
          <w:lang w:val="en-GB"/>
        </w:rPr>
        <w:t>,</w:t>
      </w:r>
      <w:r w:rsidRPr="00AB6AA7">
        <w:rPr>
          <w:rFonts w:ascii="Arial" w:hAnsi="Arial"/>
          <w:b/>
          <w:bCs/>
          <w:sz w:val="20"/>
          <w:szCs w:val="20"/>
          <w:lang w:val="en-GB"/>
        </w:rPr>
        <w:t>000</w:t>
      </w:r>
      <w:r w:rsidR="009059F4">
        <w:rPr>
          <w:rFonts w:ascii="Arial" w:hAnsi="Arial"/>
          <w:b/>
          <w:bCs/>
          <w:sz w:val="20"/>
          <w:szCs w:val="20"/>
          <w:lang w:val="en-GB"/>
        </w:rPr>
        <w:t>,</w:t>
      </w:r>
      <w:r w:rsidRPr="00AB6AA7">
        <w:rPr>
          <w:rFonts w:ascii="Arial" w:hAnsi="Arial"/>
          <w:b/>
          <w:bCs/>
          <w:sz w:val="20"/>
          <w:szCs w:val="20"/>
          <w:lang w:val="en-GB"/>
        </w:rPr>
        <w:t>000</w:t>
      </w:r>
      <w:r w:rsidRPr="00AB6AA7">
        <w:rPr>
          <w:rFonts w:ascii="Arial" w:hAnsi="Arial"/>
          <w:sz w:val="20"/>
          <w:szCs w:val="20"/>
          <w:lang w:val="en-GB"/>
        </w:rPr>
        <w:t xml:space="preserve"> if the defendants are found guilty of both charges, or more if one of the alleged offence is a second offence.</w:t>
      </w:r>
    </w:p>
    <w:p w14:paraId="61683BB4" w14:textId="77777777" w:rsidR="004B09BB" w:rsidRPr="00AB6AA7" w:rsidRDefault="004B09BB" w:rsidP="001D6704">
      <w:pPr>
        <w:rPr>
          <w:rFonts w:ascii="Arial" w:hAnsi="Arial"/>
          <w:sz w:val="20"/>
          <w:szCs w:val="20"/>
          <w:lang w:val="en-GB"/>
        </w:rPr>
      </w:pPr>
    </w:p>
    <w:p w14:paraId="76C74945" w14:textId="77777777" w:rsidR="004B09BB" w:rsidRPr="00AB6AA7" w:rsidRDefault="004B09BB" w:rsidP="001D6704">
      <w:pPr>
        <w:rPr>
          <w:rFonts w:ascii="Arial" w:hAnsi="Arial"/>
          <w:sz w:val="20"/>
          <w:szCs w:val="20"/>
          <w:lang w:val="en-GB"/>
        </w:rPr>
      </w:pPr>
    </w:p>
    <w:p w14:paraId="5652D6F3" w14:textId="77777777" w:rsidR="004B09BB" w:rsidRPr="00AB6AA7" w:rsidRDefault="00AF1E77" w:rsidP="0044737B">
      <w:pPr>
        <w:pStyle w:val="Titre2"/>
        <w:rPr>
          <w:lang w:val="en-GB"/>
        </w:rPr>
      </w:pPr>
      <w:bookmarkStart w:id="12" w:name="_Toc464474244"/>
      <w:r w:rsidRPr="00AB6AA7">
        <w:rPr>
          <w:lang w:val="en-GB"/>
        </w:rPr>
        <w:t>8</w:t>
      </w:r>
      <w:r w:rsidR="004B09BB" w:rsidRPr="00AB6AA7">
        <w:rPr>
          <w:lang w:val="en-GB"/>
        </w:rPr>
        <w:t>. Main References</w:t>
      </w:r>
      <w:bookmarkEnd w:id="12"/>
    </w:p>
    <w:p w14:paraId="430CFDEC" w14:textId="77777777" w:rsidR="003C77CA" w:rsidRPr="00AB6AA7" w:rsidRDefault="003C77CA" w:rsidP="003C77CA">
      <w:pPr>
        <w:rPr>
          <w:lang w:val="en-GB"/>
        </w:rPr>
      </w:pPr>
    </w:p>
    <w:p w14:paraId="647611D0" w14:textId="1581354D" w:rsidR="003C77CA" w:rsidRPr="00AB6AA7" w:rsidRDefault="003C77CA" w:rsidP="003C77CA">
      <w:pPr>
        <w:rPr>
          <w:rFonts w:ascii="Arial" w:hAnsi="Arial"/>
          <w:sz w:val="20"/>
          <w:szCs w:val="20"/>
          <w:lang w:val="en-GB"/>
        </w:rPr>
      </w:pPr>
      <w:r w:rsidRPr="00AB6AA7">
        <w:rPr>
          <w:rFonts w:ascii="Arial" w:hAnsi="Arial"/>
          <w:sz w:val="20"/>
          <w:szCs w:val="20"/>
          <w:lang w:val="en-GB"/>
        </w:rPr>
        <w:t>Batchelar, K., Stecko, P. et al. 2015.</w:t>
      </w:r>
      <w:r w:rsidR="009059F4">
        <w:rPr>
          <w:rFonts w:ascii="Arial" w:hAnsi="Arial"/>
          <w:sz w:val="20"/>
          <w:szCs w:val="20"/>
          <w:lang w:val="en-GB"/>
        </w:rPr>
        <w:t xml:space="preserve"> </w:t>
      </w:r>
      <w:r w:rsidRPr="00AB6AA7">
        <w:rPr>
          <w:rFonts w:ascii="Arial" w:hAnsi="Arial"/>
          <w:i/>
          <w:iCs/>
          <w:sz w:val="20"/>
          <w:szCs w:val="20"/>
          <w:lang w:val="en-GB"/>
        </w:rPr>
        <w:t>Mount Polley Tailings Dam Failure Sediment Quality Impact Characterization.</w:t>
      </w:r>
      <w:r w:rsidR="009059F4">
        <w:rPr>
          <w:rFonts w:ascii="Arial" w:hAnsi="Arial"/>
          <w:sz w:val="20"/>
          <w:szCs w:val="20"/>
          <w:lang w:val="en-GB"/>
        </w:rPr>
        <w:t xml:space="preserve"> </w:t>
      </w:r>
      <w:r w:rsidRPr="00AB6AA7">
        <w:rPr>
          <w:rFonts w:ascii="Arial" w:hAnsi="Arial"/>
          <w:sz w:val="20"/>
          <w:szCs w:val="20"/>
          <w:lang w:val="en-GB"/>
        </w:rPr>
        <w:t>Minnow Environmental Inc., prepared for Mount Polley Mining Corporation 2015.</w:t>
      </w:r>
      <w:r w:rsidR="009059F4">
        <w:rPr>
          <w:rFonts w:ascii="Arial" w:hAnsi="Arial"/>
          <w:sz w:val="20"/>
          <w:szCs w:val="20"/>
          <w:lang w:val="en-GB"/>
        </w:rPr>
        <w:t xml:space="preserve"> </w:t>
      </w:r>
      <w:r w:rsidRPr="00AB6AA7">
        <w:rPr>
          <w:rFonts w:ascii="Arial" w:hAnsi="Arial"/>
          <w:sz w:val="20"/>
          <w:szCs w:val="20"/>
          <w:lang w:val="en-GB"/>
        </w:rPr>
        <w:t>(</w:t>
      </w:r>
      <w:r w:rsidRPr="00AB6AA7">
        <w:rPr>
          <w:rFonts w:ascii="Arial" w:hAnsi="Arial"/>
          <w:b/>
          <w:i/>
          <w:sz w:val="20"/>
          <w:szCs w:val="20"/>
          <w:lang w:val="en-GB"/>
        </w:rPr>
        <w:t>“Minnow Environmental SIS Report”</w:t>
      </w:r>
      <w:r w:rsidRPr="00AB6AA7">
        <w:rPr>
          <w:rFonts w:ascii="Arial" w:hAnsi="Arial"/>
          <w:sz w:val="20"/>
          <w:szCs w:val="20"/>
          <w:lang w:val="en-GB"/>
        </w:rPr>
        <w:t xml:space="preserve">) </w:t>
      </w:r>
    </w:p>
    <w:p w14:paraId="2096328E" w14:textId="77777777" w:rsidR="003C77CA" w:rsidRPr="00AB6AA7" w:rsidRDefault="003C77CA" w:rsidP="003C77CA">
      <w:pPr>
        <w:rPr>
          <w:rFonts w:ascii="Arial" w:hAnsi="Arial"/>
          <w:sz w:val="20"/>
          <w:szCs w:val="20"/>
          <w:lang w:val="en-GB"/>
        </w:rPr>
      </w:pPr>
    </w:p>
    <w:p w14:paraId="3D1E2AD5" w14:textId="45EC3EF6" w:rsidR="003C77CA" w:rsidRPr="00AB6AA7" w:rsidRDefault="003C77CA" w:rsidP="003C77CA">
      <w:pPr>
        <w:rPr>
          <w:rFonts w:ascii="Arial" w:hAnsi="Arial"/>
          <w:sz w:val="20"/>
          <w:szCs w:val="20"/>
          <w:lang w:val="en-GB"/>
        </w:rPr>
      </w:pPr>
      <w:r w:rsidRPr="00AB6AA7">
        <w:rPr>
          <w:rFonts w:ascii="Arial" w:hAnsi="Arial"/>
          <w:sz w:val="20"/>
          <w:szCs w:val="20"/>
          <w:lang w:val="en-GB"/>
        </w:rPr>
        <w:t>BC Ministry of Energy and Mines.</w:t>
      </w:r>
      <w:r w:rsidR="009059F4">
        <w:rPr>
          <w:rFonts w:ascii="Arial" w:hAnsi="Arial"/>
          <w:sz w:val="20"/>
          <w:szCs w:val="20"/>
          <w:lang w:val="en-GB"/>
        </w:rPr>
        <w:t xml:space="preserve"> </w:t>
      </w:r>
      <w:r w:rsidRPr="00AB6AA7">
        <w:rPr>
          <w:rFonts w:ascii="Arial" w:hAnsi="Arial"/>
          <w:sz w:val="20"/>
          <w:szCs w:val="20"/>
          <w:lang w:val="en-GB"/>
        </w:rPr>
        <w:t>2015.</w:t>
      </w:r>
      <w:r w:rsidR="009059F4">
        <w:rPr>
          <w:rFonts w:ascii="Arial" w:hAnsi="Arial"/>
          <w:sz w:val="20"/>
          <w:szCs w:val="20"/>
          <w:lang w:val="en-GB"/>
        </w:rPr>
        <w:t xml:space="preserve"> </w:t>
      </w:r>
      <w:r w:rsidRPr="00AB6AA7">
        <w:rPr>
          <w:rFonts w:ascii="Arial" w:hAnsi="Arial"/>
          <w:i/>
          <w:iCs/>
          <w:sz w:val="20"/>
          <w:szCs w:val="20"/>
          <w:lang w:val="en-GB"/>
        </w:rPr>
        <w:t>Mount Polley Mine Tailings Storage Facility Breach August 4, 2014.</w:t>
      </w:r>
      <w:r w:rsidR="009059F4">
        <w:rPr>
          <w:rFonts w:ascii="Arial" w:hAnsi="Arial"/>
          <w:i/>
          <w:iCs/>
          <w:sz w:val="20"/>
          <w:szCs w:val="20"/>
          <w:lang w:val="en-GB"/>
        </w:rPr>
        <w:t xml:space="preserve"> </w:t>
      </w:r>
      <w:r w:rsidRPr="00AB6AA7">
        <w:rPr>
          <w:rFonts w:ascii="Arial" w:hAnsi="Arial"/>
          <w:i/>
          <w:iCs/>
          <w:sz w:val="20"/>
          <w:szCs w:val="20"/>
          <w:lang w:val="en-GB"/>
        </w:rPr>
        <w:t>Investigation Report of the Chief Inspector of Mines.</w:t>
      </w:r>
      <w:r w:rsidR="009059F4">
        <w:rPr>
          <w:rFonts w:ascii="Arial" w:hAnsi="Arial"/>
          <w:i/>
          <w:iCs/>
          <w:sz w:val="20"/>
          <w:szCs w:val="20"/>
          <w:lang w:val="en-GB"/>
        </w:rPr>
        <w:t xml:space="preserve"> </w:t>
      </w:r>
      <w:r w:rsidRPr="00AB6AA7">
        <w:rPr>
          <w:rFonts w:ascii="Arial" w:hAnsi="Arial"/>
          <w:sz w:val="20"/>
          <w:szCs w:val="20"/>
          <w:lang w:val="en-GB"/>
        </w:rPr>
        <w:t>BC Ministry of Energy and Mines, Mining and Mineral Resources Division (</w:t>
      </w:r>
      <w:r w:rsidRPr="00AB6AA7">
        <w:rPr>
          <w:rFonts w:ascii="Arial" w:hAnsi="Arial"/>
          <w:b/>
          <w:sz w:val="20"/>
          <w:szCs w:val="20"/>
          <w:lang w:val="en-GB"/>
        </w:rPr>
        <w:t>“</w:t>
      </w:r>
      <w:r w:rsidRPr="00AB6AA7">
        <w:rPr>
          <w:rFonts w:ascii="Arial" w:hAnsi="Arial"/>
          <w:b/>
          <w:i/>
          <w:iCs/>
          <w:sz w:val="20"/>
          <w:szCs w:val="20"/>
          <w:lang w:val="en-GB"/>
        </w:rPr>
        <w:t>Chief Inspector's Report</w:t>
      </w:r>
      <w:r w:rsidRPr="00AB6AA7">
        <w:rPr>
          <w:rFonts w:ascii="Arial" w:hAnsi="Arial"/>
          <w:b/>
          <w:sz w:val="20"/>
          <w:szCs w:val="20"/>
          <w:lang w:val="en-GB"/>
        </w:rPr>
        <w:t>”</w:t>
      </w:r>
      <w:r w:rsidRPr="00AB6AA7">
        <w:rPr>
          <w:rFonts w:ascii="Arial" w:hAnsi="Arial"/>
          <w:sz w:val="20"/>
          <w:szCs w:val="20"/>
          <w:lang w:val="en-GB"/>
        </w:rPr>
        <w:t>).</w:t>
      </w:r>
    </w:p>
    <w:p w14:paraId="495DFE87" w14:textId="77777777" w:rsidR="003C77CA" w:rsidRPr="00AB6AA7" w:rsidRDefault="003C77CA" w:rsidP="003C77CA">
      <w:pPr>
        <w:rPr>
          <w:rFonts w:ascii="Arial" w:hAnsi="Arial"/>
          <w:sz w:val="20"/>
          <w:szCs w:val="20"/>
          <w:lang w:val="en-GB"/>
        </w:rPr>
      </w:pPr>
    </w:p>
    <w:p w14:paraId="35FA5005" w14:textId="77777777" w:rsidR="003C77CA" w:rsidRPr="00AB6AA7" w:rsidRDefault="003C77CA" w:rsidP="003C77CA">
      <w:pPr>
        <w:rPr>
          <w:rFonts w:ascii="Arial" w:hAnsi="Arial"/>
          <w:sz w:val="20"/>
          <w:szCs w:val="20"/>
          <w:lang w:val="en-GB"/>
        </w:rPr>
      </w:pPr>
      <w:r w:rsidRPr="00AB6AA7">
        <w:rPr>
          <w:rFonts w:ascii="Arial" w:hAnsi="Arial"/>
          <w:sz w:val="20"/>
          <w:szCs w:val="20"/>
          <w:lang w:val="en-GB"/>
        </w:rPr>
        <w:t xml:space="preserve">BC Ministry of Environment, 2016. </w:t>
      </w:r>
      <w:r w:rsidRPr="00AB6AA7">
        <w:rPr>
          <w:rFonts w:ascii="Arial" w:hAnsi="Arial"/>
          <w:i/>
          <w:sz w:val="20"/>
          <w:szCs w:val="20"/>
          <w:lang w:val="en-GB"/>
        </w:rPr>
        <w:t>Memo: Quesnel Lake Sediment Quality for samples collected May 21, 22 and 25, 2015</w:t>
      </w:r>
      <w:r w:rsidRPr="00AB6AA7">
        <w:rPr>
          <w:rFonts w:ascii="Arial" w:hAnsi="Arial"/>
          <w:sz w:val="20"/>
          <w:szCs w:val="20"/>
          <w:lang w:val="en-GB"/>
        </w:rPr>
        <w:t xml:space="preserve"> </w:t>
      </w:r>
      <w:r w:rsidRPr="00AB6AA7">
        <w:rPr>
          <w:rFonts w:ascii="Arial" w:hAnsi="Arial"/>
          <w:i/>
          <w:sz w:val="20"/>
          <w:szCs w:val="20"/>
          <w:lang w:val="en-GB"/>
        </w:rPr>
        <w:t xml:space="preserve">compared to Working Sediment Quality Guidelines, </w:t>
      </w:r>
      <w:r w:rsidRPr="00AB6AA7">
        <w:rPr>
          <w:rFonts w:ascii="Arial" w:hAnsi="Arial"/>
          <w:sz w:val="20"/>
          <w:szCs w:val="20"/>
          <w:lang w:val="en-GB"/>
        </w:rPr>
        <w:t>April 26, 2016. (“</w:t>
      </w:r>
      <w:r w:rsidRPr="00AB6AA7">
        <w:rPr>
          <w:rFonts w:ascii="Arial" w:hAnsi="Arial"/>
          <w:b/>
          <w:i/>
          <w:sz w:val="20"/>
          <w:szCs w:val="20"/>
          <w:lang w:val="en-GB"/>
        </w:rPr>
        <w:t>BC MOE Memo on Sediment”</w:t>
      </w:r>
      <w:r w:rsidRPr="00AB6AA7">
        <w:rPr>
          <w:rFonts w:ascii="Arial" w:hAnsi="Arial"/>
          <w:sz w:val="20"/>
          <w:szCs w:val="20"/>
          <w:lang w:val="en-GB"/>
        </w:rPr>
        <w:t>)</w:t>
      </w:r>
    </w:p>
    <w:p w14:paraId="5EDC9486" w14:textId="77777777" w:rsidR="003C77CA" w:rsidRPr="00AB6AA7" w:rsidRDefault="003C77CA" w:rsidP="003C77CA">
      <w:pPr>
        <w:rPr>
          <w:rFonts w:ascii="Arial" w:hAnsi="Arial"/>
          <w:sz w:val="20"/>
          <w:szCs w:val="20"/>
          <w:lang w:val="en-GB"/>
        </w:rPr>
      </w:pPr>
    </w:p>
    <w:p w14:paraId="4F3AC82C" w14:textId="5AA6449A" w:rsidR="003C77CA" w:rsidRPr="00AB6AA7" w:rsidRDefault="003C77CA" w:rsidP="003C77CA">
      <w:pPr>
        <w:rPr>
          <w:rFonts w:ascii="Arial" w:hAnsi="Arial"/>
          <w:sz w:val="20"/>
          <w:szCs w:val="20"/>
          <w:lang w:val="en-GB"/>
        </w:rPr>
      </w:pPr>
      <w:r w:rsidRPr="00AB6AA7">
        <w:rPr>
          <w:rFonts w:ascii="Arial" w:hAnsi="Arial"/>
          <w:sz w:val="20"/>
          <w:szCs w:val="20"/>
          <w:lang w:val="en-GB"/>
        </w:rPr>
        <w:t>Casselman, J. et al. 2015</w:t>
      </w:r>
      <w:r w:rsidR="009059F4">
        <w:rPr>
          <w:rFonts w:ascii="Arial" w:hAnsi="Arial"/>
          <w:sz w:val="20"/>
          <w:szCs w:val="20"/>
          <w:lang w:val="en-GB"/>
        </w:rPr>
        <w:t xml:space="preserve"> </w:t>
      </w:r>
      <w:r w:rsidRPr="00AB6AA7">
        <w:rPr>
          <w:rFonts w:ascii="Arial" w:hAnsi="Arial"/>
          <w:sz w:val="20"/>
          <w:szCs w:val="20"/>
          <w:lang w:val="en-GB"/>
        </w:rPr>
        <w:t xml:space="preserve">2015. </w:t>
      </w:r>
      <w:r w:rsidRPr="00AB6AA7">
        <w:rPr>
          <w:rFonts w:ascii="Arial" w:hAnsi="Arial"/>
          <w:i/>
          <w:iCs/>
          <w:sz w:val="20"/>
          <w:szCs w:val="20"/>
          <w:lang w:val="en-GB"/>
        </w:rPr>
        <w:t>Mount Polley Tailings Storage Facility Failure – Fish and Fish Habitat Impact Assessment</w:t>
      </w:r>
      <w:r w:rsidRPr="00AB6AA7">
        <w:rPr>
          <w:rFonts w:ascii="Arial" w:hAnsi="Arial"/>
          <w:sz w:val="20"/>
          <w:szCs w:val="20"/>
          <w:lang w:val="en-GB"/>
        </w:rPr>
        <w:t>.</w:t>
      </w:r>
      <w:r w:rsidR="009059F4">
        <w:rPr>
          <w:rFonts w:ascii="Arial" w:hAnsi="Arial"/>
          <w:sz w:val="20"/>
          <w:szCs w:val="20"/>
          <w:lang w:val="en-GB"/>
        </w:rPr>
        <w:t xml:space="preserve"> </w:t>
      </w:r>
      <w:r w:rsidRPr="00AB6AA7">
        <w:rPr>
          <w:rFonts w:ascii="Arial" w:hAnsi="Arial"/>
          <w:sz w:val="20"/>
          <w:szCs w:val="20"/>
          <w:lang w:val="en-GB"/>
        </w:rPr>
        <w:t>SNC-Lavalin Inc.</w:t>
      </w:r>
      <w:r w:rsidR="009059F4">
        <w:rPr>
          <w:rFonts w:ascii="Arial" w:hAnsi="Arial"/>
          <w:sz w:val="20"/>
          <w:szCs w:val="20"/>
          <w:lang w:val="en-GB"/>
        </w:rPr>
        <w:t xml:space="preserve"> </w:t>
      </w:r>
      <w:r w:rsidRPr="00AB6AA7">
        <w:rPr>
          <w:rFonts w:ascii="Arial" w:hAnsi="Arial"/>
          <w:sz w:val="20"/>
          <w:szCs w:val="20"/>
          <w:lang w:val="en-GB"/>
        </w:rPr>
        <w:t>Prepared for Mount Polley Mining Corporation (</w:t>
      </w:r>
      <w:r w:rsidRPr="00AB6AA7">
        <w:rPr>
          <w:rFonts w:ascii="Arial" w:hAnsi="Arial"/>
          <w:b/>
          <w:i/>
          <w:sz w:val="20"/>
          <w:szCs w:val="20"/>
          <w:lang w:val="en-GB"/>
        </w:rPr>
        <w:t>“SNC-Lavalin FFHIA Report”</w:t>
      </w:r>
      <w:r w:rsidRPr="00AB6AA7">
        <w:rPr>
          <w:rFonts w:ascii="Arial" w:hAnsi="Arial"/>
          <w:sz w:val="20"/>
          <w:szCs w:val="20"/>
          <w:lang w:val="en-GB"/>
        </w:rPr>
        <w:t>).</w:t>
      </w:r>
    </w:p>
    <w:p w14:paraId="1D1E249E" w14:textId="77777777" w:rsidR="003C77CA" w:rsidRPr="00AB6AA7" w:rsidRDefault="003C77CA" w:rsidP="003C77CA">
      <w:pPr>
        <w:rPr>
          <w:rFonts w:ascii="Arial" w:hAnsi="Arial"/>
          <w:sz w:val="20"/>
          <w:szCs w:val="20"/>
          <w:lang w:val="en-GB"/>
        </w:rPr>
      </w:pPr>
    </w:p>
    <w:p w14:paraId="286F72B4" w14:textId="6F20BC30" w:rsidR="003C77CA" w:rsidRPr="00AB6AA7" w:rsidRDefault="003C77CA" w:rsidP="003C77CA">
      <w:pPr>
        <w:rPr>
          <w:rFonts w:ascii="Arial" w:hAnsi="Arial"/>
          <w:sz w:val="20"/>
          <w:szCs w:val="20"/>
          <w:lang w:val="en-GB"/>
        </w:rPr>
      </w:pPr>
      <w:r w:rsidRPr="00AB6AA7">
        <w:rPr>
          <w:rFonts w:ascii="Arial" w:hAnsi="Arial"/>
          <w:sz w:val="20"/>
          <w:szCs w:val="20"/>
          <w:lang w:val="en-GB"/>
        </w:rPr>
        <w:t>Department of Justice Canada.</w:t>
      </w:r>
      <w:r w:rsidR="009059F4">
        <w:rPr>
          <w:rFonts w:ascii="Arial" w:hAnsi="Arial"/>
          <w:sz w:val="20"/>
          <w:szCs w:val="20"/>
          <w:lang w:val="en-GB"/>
        </w:rPr>
        <w:t xml:space="preserve"> </w:t>
      </w:r>
      <w:r w:rsidRPr="00AB6AA7">
        <w:rPr>
          <w:rFonts w:ascii="Arial" w:hAnsi="Arial"/>
          <w:i/>
          <w:iCs/>
          <w:sz w:val="20"/>
          <w:szCs w:val="20"/>
          <w:lang w:val="en-GB"/>
        </w:rPr>
        <w:t>A Practical Guide to the Fisheries Act and to the Coastal Fisheries Protection Act</w:t>
      </w:r>
      <w:r w:rsidRPr="00AB6AA7">
        <w:rPr>
          <w:rFonts w:ascii="Arial" w:hAnsi="Arial"/>
          <w:sz w:val="20"/>
          <w:szCs w:val="20"/>
          <w:lang w:val="en-GB"/>
        </w:rPr>
        <w:t>.</w:t>
      </w:r>
      <w:r w:rsidR="009059F4">
        <w:rPr>
          <w:rFonts w:ascii="Arial" w:hAnsi="Arial"/>
          <w:sz w:val="20"/>
          <w:szCs w:val="20"/>
          <w:lang w:val="en-GB"/>
        </w:rPr>
        <w:t xml:space="preserve"> </w:t>
      </w:r>
      <w:r w:rsidRPr="00AB6AA7">
        <w:rPr>
          <w:rFonts w:ascii="Arial" w:hAnsi="Arial"/>
          <w:sz w:val="20"/>
          <w:szCs w:val="20"/>
          <w:lang w:val="en-GB"/>
        </w:rPr>
        <w:t>Department of Justice Canada.</w:t>
      </w:r>
      <w:r w:rsidR="009059F4">
        <w:rPr>
          <w:rFonts w:ascii="Arial" w:hAnsi="Arial"/>
          <w:sz w:val="20"/>
          <w:szCs w:val="20"/>
          <w:lang w:val="en-GB"/>
        </w:rPr>
        <w:t xml:space="preserve"> </w:t>
      </w:r>
      <w:r w:rsidRPr="00AB6AA7">
        <w:rPr>
          <w:rFonts w:ascii="Arial" w:hAnsi="Arial"/>
          <w:sz w:val="20"/>
          <w:szCs w:val="20"/>
          <w:lang w:val="en-GB"/>
        </w:rPr>
        <w:t>(</w:t>
      </w:r>
      <w:r w:rsidRPr="00AB6AA7">
        <w:rPr>
          <w:rFonts w:ascii="Arial" w:hAnsi="Arial"/>
          <w:b/>
          <w:sz w:val="20"/>
          <w:szCs w:val="20"/>
          <w:lang w:val="en-GB"/>
        </w:rPr>
        <w:t>“</w:t>
      </w:r>
      <w:r w:rsidRPr="00AB6AA7">
        <w:rPr>
          <w:rFonts w:ascii="Arial" w:hAnsi="Arial"/>
          <w:b/>
          <w:i/>
          <w:iCs/>
          <w:sz w:val="20"/>
          <w:szCs w:val="20"/>
          <w:lang w:val="en-GB"/>
        </w:rPr>
        <w:t>Practical Guide to the Fisheries Act</w:t>
      </w:r>
      <w:r w:rsidRPr="00AB6AA7">
        <w:rPr>
          <w:rFonts w:ascii="Arial" w:hAnsi="Arial"/>
          <w:b/>
          <w:sz w:val="20"/>
          <w:szCs w:val="20"/>
          <w:lang w:val="en-GB"/>
        </w:rPr>
        <w:t>”</w:t>
      </w:r>
      <w:r w:rsidRPr="00AB6AA7">
        <w:rPr>
          <w:rFonts w:ascii="Arial" w:hAnsi="Arial"/>
          <w:sz w:val="20"/>
          <w:szCs w:val="20"/>
          <w:lang w:val="en-GB"/>
        </w:rPr>
        <w:t>)</w:t>
      </w:r>
    </w:p>
    <w:p w14:paraId="56902ACC" w14:textId="77777777" w:rsidR="003C77CA" w:rsidRPr="00AB6AA7" w:rsidRDefault="003C77CA" w:rsidP="003C77CA">
      <w:pPr>
        <w:rPr>
          <w:rFonts w:ascii="Arial" w:hAnsi="Arial"/>
          <w:sz w:val="20"/>
          <w:szCs w:val="20"/>
          <w:lang w:val="en-GB"/>
        </w:rPr>
      </w:pPr>
    </w:p>
    <w:p w14:paraId="73C6B1EB" w14:textId="55E0661C" w:rsidR="003C77CA" w:rsidRPr="00AB6AA7" w:rsidRDefault="003C77CA" w:rsidP="003C77CA">
      <w:pPr>
        <w:rPr>
          <w:rFonts w:ascii="Arial" w:hAnsi="Arial"/>
          <w:sz w:val="20"/>
          <w:szCs w:val="20"/>
          <w:lang w:val="en-GB"/>
        </w:rPr>
      </w:pPr>
      <w:r w:rsidRPr="00AB6AA7">
        <w:rPr>
          <w:rFonts w:ascii="Arial" w:hAnsi="Arial"/>
          <w:sz w:val="20"/>
          <w:szCs w:val="20"/>
          <w:lang w:val="en-GB"/>
        </w:rPr>
        <w:t xml:space="preserve">Fisheries and Oceans Canada. </w:t>
      </w:r>
      <w:r w:rsidRPr="00AB6AA7">
        <w:rPr>
          <w:rFonts w:ascii="Arial" w:hAnsi="Arial"/>
          <w:i/>
          <w:iCs/>
          <w:sz w:val="20"/>
          <w:szCs w:val="20"/>
          <w:lang w:val="en-GB"/>
        </w:rPr>
        <w:t>Fisheries Protection Policy Statement</w:t>
      </w:r>
      <w:r w:rsidRPr="00AB6AA7">
        <w:rPr>
          <w:rFonts w:ascii="Arial" w:hAnsi="Arial"/>
          <w:sz w:val="20"/>
          <w:szCs w:val="20"/>
          <w:lang w:val="en-GB"/>
        </w:rPr>
        <w:t>.</w:t>
      </w:r>
      <w:r w:rsidR="009059F4">
        <w:rPr>
          <w:rFonts w:ascii="Arial" w:hAnsi="Arial"/>
          <w:sz w:val="20"/>
          <w:szCs w:val="20"/>
          <w:lang w:val="en-GB"/>
        </w:rPr>
        <w:t xml:space="preserve"> </w:t>
      </w:r>
      <w:r w:rsidRPr="00AB6AA7">
        <w:rPr>
          <w:rFonts w:ascii="Arial" w:hAnsi="Arial"/>
          <w:sz w:val="20"/>
          <w:szCs w:val="20"/>
          <w:lang w:val="en-GB"/>
        </w:rPr>
        <w:t xml:space="preserve">Online: </w:t>
      </w:r>
      <w:hyperlink r:id="rId8" w:history="1">
        <w:r w:rsidRPr="00AB6AA7">
          <w:rPr>
            <w:rStyle w:val="Lienhypertexte"/>
            <w:rFonts w:ascii="Arial" w:hAnsi="Arial"/>
            <w:sz w:val="20"/>
            <w:szCs w:val="20"/>
            <w:lang w:val="en-GB"/>
          </w:rPr>
          <w:t>http://www.dfo-mpo.gc.ca/pnw-ppe/pol/index-eng.html</w:t>
        </w:r>
      </w:hyperlink>
      <w:r w:rsidRPr="00AB6AA7">
        <w:rPr>
          <w:rFonts w:ascii="Arial" w:hAnsi="Arial"/>
          <w:sz w:val="20"/>
          <w:szCs w:val="20"/>
          <w:lang w:val="en-GB"/>
        </w:rPr>
        <w:t xml:space="preserve"> (</w:t>
      </w:r>
      <w:r w:rsidRPr="00AB6AA7">
        <w:rPr>
          <w:rFonts w:ascii="Arial" w:hAnsi="Arial"/>
          <w:b/>
          <w:sz w:val="20"/>
          <w:szCs w:val="20"/>
          <w:lang w:val="en-GB"/>
        </w:rPr>
        <w:t>“</w:t>
      </w:r>
      <w:r w:rsidRPr="00AB6AA7">
        <w:rPr>
          <w:rFonts w:ascii="Arial" w:hAnsi="Arial"/>
          <w:b/>
          <w:i/>
          <w:iCs/>
          <w:sz w:val="20"/>
          <w:szCs w:val="20"/>
          <w:lang w:val="en-GB"/>
        </w:rPr>
        <w:t>Fisheries Protection Policy”</w:t>
      </w:r>
      <w:r w:rsidRPr="00AB6AA7">
        <w:rPr>
          <w:rFonts w:ascii="Arial" w:hAnsi="Arial"/>
          <w:i/>
          <w:iCs/>
          <w:sz w:val="20"/>
          <w:szCs w:val="20"/>
          <w:lang w:val="en-GB"/>
        </w:rPr>
        <w:t>)</w:t>
      </w:r>
    </w:p>
    <w:p w14:paraId="28A46E19" w14:textId="77777777" w:rsidR="003C77CA" w:rsidRPr="00AB6AA7" w:rsidRDefault="003C77CA" w:rsidP="003C77CA">
      <w:pPr>
        <w:rPr>
          <w:rFonts w:ascii="Arial" w:hAnsi="Arial"/>
          <w:sz w:val="20"/>
          <w:szCs w:val="20"/>
          <w:lang w:val="en-GB"/>
        </w:rPr>
      </w:pPr>
    </w:p>
    <w:p w14:paraId="472073F2" w14:textId="1CBA36F0" w:rsidR="003C77CA" w:rsidRPr="00AB6AA7" w:rsidRDefault="003C77CA" w:rsidP="003C77CA">
      <w:pPr>
        <w:rPr>
          <w:rFonts w:ascii="Arial" w:hAnsi="Arial"/>
          <w:sz w:val="20"/>
          <w:szCs w:val="20"/>
          <w:lang w:val="en-GB"/>
        </w:rPr>
      </w:pPr>
      <w:r w:rsidRPr="00AB6AA7">
        <w:rPr>
          <w:rFonts w:ascii="Arial" w:hAnsi="Arial"/>
          <w:sz w:val="20"/>
          <w:szCs w:val="20"/>
          <w:lang w:val="en-GB"/>
        </w:rPr>
        <w:t>Golder Associates Ltd.</w:t>
      </w:r>
      <w:r w:rsidR="009059F4">
        <w:rPr>
          <w:rFonts w:ascii="Arial" w:hAnsi="Arial"/>
          <w:sz w:val="20"/>
          <w:szCs w:val="20"/>
          <w:lang w:val="en-GB"/>
        </w:rPr>
        <w:t xml:space="preserve"> </w:t>
      </w:r>
      <w:r w:rsidRPr="00AB6AA7">
        <w:rPr>
          <w:rFonts w:ascii="Arial" w:hAnsi="Arial"/>
          <w:sz w:val="20"/>
          <w:szCs w:val="20"/>
          <w:lang w:val="en-GB"/>
        </w:rPr>
        <w:t xml:space="preserve">2015. </w:t>
      </w:r>
      <w:r w:rsidRPr="00AB6AA7">
        <w:rPr>
          <w:rFonts w:ascii="Arial" w:hAnsi="Arial"/>
          <w:i/>
          <w:iCs/>
          <w:sz w:val="20"/>
          <w:szCs w:val="20"/>
          <w:lang w:val="en-GB"/>
        </w:rPr>
        <w:t>Post Event Environmental Impact Assessment Report – Key Findings Report</w:t>
      </w:r>
      <w:r w:rsidRPr="00AB6AA7">
        <w:rPr>
          <w:rFonts w:ascii="Arial" w:hAnsi="Arial"/>
          <w:sz w:val="20"/>
          <w:szCs w:val="20"/>
          <w:lang w:val="en-GB"/>
        </w:rPr>
        <w:t>. Mount Polley Mining Corporaiton (</w:t>
      </w:r>
      <w:r w:rsidRPr="00AB6AA7">
        <w:rPr>
          <w:rFonts w:ascii="Arial" w:hAnsi="Arial"/>
          <w:b/>
          <w:i/>
          <w:sz w:val="20"/>
          <w:szCs w:val="20"/>
          <w:lang w:val="en-GB"/>
        </w:rPr>
        <w:t xml:space="preserve">“Golder Assoxiates </w:t>
      </w:r>
      <w:r w:rsidRPr="00AB6AA7">
        <w:rPr>
          <w:rFonts w:ascii="Arial" w:hAnsi="Arial"/>
          <w:b/>
          <w:i/>
          <w:iCs/>
          <w:sz w:val="20"/>
          <w:szCs w:val="20"/>
          <w:lang w:val="en-GB"/>
        </w:rPr>
        <w:t>EIA Report</w:t>
      </w:r>
      <w:r w:rsidRPr="00AB6AA7">
        <w:rPr>
          <w:rFonts w:ascii="Arial" w:hAnsi="Arial"/>
          <w:b/>
          <w:i/>
          <w:sz w:val="20"/>
          <w:szCs w:val="20"/>
          <w:lang w:val="en-GB"/>
        </w:rPr>
        <w:t>”</w:t>
      </w:r>
      <w:r w:rsidRPr="00AB6AA7">
        <w:rPr>
          <w:rFonts w:ascii="Arial" w:hAnsi="Arial"/>
          <w:sz w:val="20"/>
          <w:szCs w:val="20"/>
          <w:lang w:val="en-GB"/>
        </w:rPr>
        <w:t>).</w:t>
      </w:r>
    </w:p>
    <w:p w14:paraId="430CF3F7" w14:textId="77777777" w:rsidR="003C77CA" w:rsidRPr="00AB6AA7" w:rsidRDefault="003C77CA" w:rsidP="003C77CA">
      <w:pPr>
        <w:rPr>
          <w:rFonts w:ascii="Arial" w:hAnsi="Arial"/>
          <w:sz w:val="20"/>
          <w:szCs w:val="20"/>
          <w:lang w:val="en-GB"/>
        </w:rPr>
      </w:pPr>
    </w:p>
    <w:p w14:paraId="62F81788" w14:textId="57AC03ED" w:rsidR="003C77CA" w:rsidRPr="00AB6AA7" w:rsidRDefault="003C77CA" w:rsidP="003C77CA">
      <w:pPr>
        <w:rPr>
          <w:rFonts w:ascii="Arial" w:hAnsi="Arial"/>
          <w:sz w:val="20"/>
          <w:szCs w:val="20"/>
          <w:lang w:val="en-GB"/>
        </w:rPr>
      </w:pPr>
      <w:r w:rsidRPr="00AB6AA7">
        <w:rPr>
          <w:rFonts w:ascii="Arial" w:hAnsi="Arial"/>
          <w:sz w:val="20"/>
          <w:szCs w:val="20"/>
          <w:lang w:val="en-GB"/>
        </w:rPr>
        <w:t>Golder Associates Ltd.</w:t>
      </w:r>
      <w:r w:rsidR="009059F4">
        <w:rPr>
          <w:rFonts w:ascii="Arial" w:hAnsi="Arial"/>
          <w:sz w:val="20"/>
          <w:szCs w:val="20"/>
          <w:lang w:val="en-GB"/>
        </w:rPr>
        <w:t xml:space="preserve"> </w:t>
      </w:r>
      <w:r w:rsidRPr="00AB6AA7">
        <w:rPr>
          <w:rFonts w:ascii="Arial" w:hAnsi="Arial"/>
          <w:sz w:val="20"/>
          <w:szCs w:val="20"/>
          <w:lang w:val="en-GB"/>
        </w:rPr>
        <w:t>June 2015.</w:t>
      </w:r>
      <w:r w:rsidR="009059F4">
        <w:rPr>
          <w:rFonts w:ascii="Arial" w:hAnsi="Arial"/>
          <w:sz w:val="20"/>
          <w:szCs w:val="20"/>
          <w:lang w:val="en-GB"/>
        </w:rPr>
        <w:t xml:space="preserve"> </w:t>
      </w:r>
      <w:r w:rsidRPr="00AB6AA7">
        <w:rPr>
          <w:rFonts w:ascii="Arial" w:hAnsi="Arial"/>
          <w:i/>
          <w:iCs/>
          <w:sz w:val="20"/>
          <w:szCs w:val="20"/>
          <w:lang w:val="en-GB"/>
        </w:rPr>
        <w:t>Mount Polley – Quesnel and Polley Lakes Aquatic Productivity Impact Assessment.</w:t>
      </w:r>
      <w:r w:rsidR="009059F4">
        <w:rPr>
          <w:rFonts w:ascii="Arial" w:hAnsi="Arial"/>
          <w:i/>
          <w:iCs/>
          <w:sz w:val="20"/>
          <w:szCs w:val="20"/>
          <w:lang w:val="en-GB"/>
        </w:rPr>
        <w:t xml:space="preserve"> </w:t>
      </w:r>
      <w:r w:rsidRPr="00AB6AA7">
        <w:rPr>
          <w:rFonts w:ascii="Arial" w:hAnsi="Arial"/>
          <w:i/>
          <w:iCs/>
          <w:sz w:val="20"/>
          <w:szCs w:val="20"/>
          <w:lang w:val="en-GB"/>
        </w:rPr>
        <w:t>(</w:t>
      </w:r>
      <w:r w:rsidRPr="00AB6AA7">
        <w:rPr>
          <w:rFonts w:ascii="Arial" w:hAnsi="Arial"/>
          <w:b/>
          <w:i/>
          <w:iCs/>
          <w:sz w:val="20"/>
          <w:szCs w:val="20"/>
          <w:lang w:val="en-GB"/>
        </w:rPr>
        <w:t>“</w:t>
      </w:r>
      <w:r w:rsidRPr="00AB6AA7">
        <w:rPr>
          <w:rFonts w:ascii="Arial" w:hAnsi="Arial"/>
          <w:b/>
          <w:i/>
          <w:sz w:val="20"/>
          <w:szCs w:val="20"/>
          <w:lang w:val="en-GB"/>
        </w:rPr>
        <w:t>Golder Associates APIA Report”</w:t>
      </w:r>
      <w:r w:rsidRPr="00AB6AA7">
        <w:rPr>
          <w:rFonts w:ascii="Arial" w:hAnsi="Arial"/>
          <w:i/>
          <w:sz w:val="20"/>
          <w:szCs w:val="20"/>
          <w:lang w:val="en-GB"/>
        </w:rPr>
        <w:t>)</w:t>
      </w:r>
    </w:p>
    <w:p w14:paraId="62AB9D36" w14:textId="77777777" w:rsidR="003C77CA" w:rsidRPr="00AB6AA7" w:rsidRDefault="003C77CA" w:rsidP="003C77CA">
      <w:pPr>
        <w:rPr>
          <w:rFonts w:ascii="Arial" w:hAnsi="Arial"/>
          <w:sz w:val="20"/>
          <w:szCs w:val="20"/>
          <w:lang w:val="en-GB"/>
        </w:rPr>
      </w:pPr>
      <w:r w:rsidRPr="00AB6AA7">
        <w:rPr>
          <w:rFonts w:ascii="Arial" w:hAnsi="Arial"/>
          <w:i/>
          <w:iCs/>
          <w:sz w:val="20"/>
          <w:szCs w:val="20"/>
          <w:lang w:val="en-GB"/>
        </w:rPr>
        <w:t xml:space="preserve">HMTQ v. B.C. Hydro, </w:t>
      </w:r>
      <w:r w:rsidRPr="00AB6AA7">
        <w:rPr>
          <w:rFonts w:ascii="Arial" w:hAnsi="Arial"/>
          <w:sz w:val="20"/>
          <w:szCs w:val="20"/>
          <w:lang w:val="en-GB"/>
        </w:rPr>
        <w:t>1997 CanLII 4373 (BCSC), at paras. 55 and 66.</w:t>
      </w:r>
    </w:p>
    <w:p w14:paraId="6CBB1487" w14:textId="77777777" w:rsidR="003C77CA" w:rsidRPr="00AB6AA7" w:rsidRDefault="003C77CA" w:rsidP="003C77CA">
      <w:pPr>
        <w:rPr>
          <w:rFonts w:ascii="Arial" w:hAnsi="Arial"/>
          <w:sz w:val="20"/>
          <w:szCs w:val="20"/>
          <w:lang w:val="en-GB"/>
        </w:rPr>
      </w:pPr>
    </w:p>
    <w:p w14:paraId="600F7F2B" w14:textId="4D5DF8F8" w:rsidR="003C77CA" w:rsidRPr="00AB6AA7" w:rsidRDefault="003C77CA" w:rsidP="003C77CA">
      <w:pPr>
        <w:rPr>
          <w:rFonts w:ascii="Arial" w:hAnsi="Arial"/>
          <w:sz w:val="20"/>
          <w:szCs w:val="20"/>
          <w:lang w:val="en-GB"/>
        </w:rPr>
      </w:pPr>
      <w:r w:rsidRPr="00AB6AA7">
        <w:rPr>
          <w:rFonts w:ascii="Arial" w:hAnsi="Arial"/>
          <w:sz w:val="20"/>
          <w:szCs w:val="20"/>
          <w:lang w:val="en-GB"/>
        </w:rPr>
        <w:t>Independent Expert Engineering Investigation and Review Panel.</w:t>
      </w:r>
      <w:r w:rsidR="009059F4">
        <w:rPr>
          <w:rFonts w:ascii="Arial" w:hAnsi="Arial"/>
          <w:sz w:val="20"/>
          <w:szCs w:val="20"/>
          <w:lang w:val="en-GB"/>
        </w:rPr>
        <w:t xml:space="preserve"> </w:t>
      </w:r>
      <w:r w:rsidRPr="00AB6AA7">
        <w:rPr>
          <w:rFonts w:ascii="Arial" w:hAnsi="Arial"/>
          <w:sz w:val="20"/>
          <w:szCs w:val="20"/>
          <w:lang w:val="en-GB"/>
        </w:rPr>
        <w:t>2015.</w:t>
      </w:r>
      <w:r w:rsidR="009059F4">
        <w:rPr>
          <w:rFonts w:ascii="Arial" w:hAnsi="Arial"/>
          <w:sz w:val="20"/>
          <w:szCs w:val="20"/>
          <w:lang w:val="en-GB"/>
        </w:rPr>
        <w:t xml:space="preserve"> </w:t>
      </w:r>
      <w:r w:rsidRPr="00AB6AA7">
        <w:rPr>
          <w:rFonts w:ascii="Arial" w:hAnsi="Arial"/>
          <w:i/>
          <w:iCs/>
          <w:sz w:val="20"/>
          <w:szCs w:val="20"/>
          <w:lang w:val="en-GB"/>
        </w:rPr>
        <w:t>Report on Mount Polley Tailings Storage Facility Breach</w:t>
      </w:r>
      <w:r w:rsidRPr="00AB6AA7">
        <w:rPr>
          <w:rFonts w:ascii="Arial" w:hAnsi="Arial"/>
          <w:sz w:val="20"/>
          <w:szCs w:val="20"/>
          <w:lang w:val="en-GB"/>
        </w:rPr>
        <w:t>.</w:t>
      </w:r>
      <w:r w:rsidR="009059F4">
        <w:rPr>
          <w:rFonts w:ascii="Arial" w:hAnsi="Arial"/>
          <w:sz w:val="20"/>
          <w:szCs w:val="20"/>
          <w:lang w:val="en-GB"/>
        </w:rPr>
        <w:t xml:space="preserve"> </w:t>
      </w:r>
      <w:r w:rsidRPr="00AB6AA7">
        <w:rPr>
          <w:rFonts w:ascii="Arial" w:hAnsi="Arial"/>
          <w:sz w:val="20"/>
          <w:szCs w:val="20"/>
          <w:lang w:val="en-GB"/>
        </w:rPr>
        <w:t>Government of British Columbia (</w:t>
      </w:r>
      <w:r w:rsidRPr="00AB6AA7">
        <w:rPr>
          <w:rFonts w:ascii="Arial" w:hAnsi="Arial"/>
          <w:b/>
          <w:sz w:val="20"/>
          <w:szCs w:val="20"/>
          <w:lang w:val="en-GB"/>
        </w:rPr>
        <w:t>“</w:t>
      </w:r>
      <w:r w:rsidRPr="00AB6AA7">
        <w:rPr>
          <w:rFonts w:ascii="Arial" w:hAnsi="Arial"/>
          <w:b/>
          <w:i/>
          <w:iCs/>
          <w:sz w:val="20"/>
          <w:szCs w:val="20"/>
          <w:lang w:val="en-GB"/>
        </w:rPr>
        <w:t>Independent Panel Report</w:t>
      </w:r>
      <w:r w:rsidRPr="00AB6AA7">
        <w:rPr>
          <w:rFonts w:ascii="Arial" w:hAnsi="Arial"/>
          <w:b/>
          <w:sz w:val="20"/>
          <w:szCs w:val="20"/>
          <w:lang w:val="en-GB"/>
        </w:rPr>
        <w:t>”</w:t>
      </w:r>
      <w:r w:rsidRPr="00AB6AA7">
        <w:rPr>
          <w:rFonts w:ascii="Arial" w:hAnsi="Arial"/>
          <w:sz w:val="20"/>
          <w:szCs w:val="20"/>
          <w:lang w:val="en-GB"/>
        </w:rPr>
        <w:t>).</w:t>
      </w:r>
      <w:r w:rsidR="009059F4">
        <w:rPr>
          <w:rFonts w:ascii="Arial" w:hAnsi="Arial"/>
          <w:sz w:val="20"/>
          <w:szCs w:val="20"/>
          <w:lang w:val="en-GB"/>
        </w:rPr>
        <w:t xml:space="preserve"> </w:t>
      </w:r>
    </w:p>
    <w:p w14:paraId="4D8E85D6" w14:textId="77777777" w:rsidR="003C77CA" w:rsidRPr="00AB6AA7" w:rsidRDefault="003C77CA" w:rsidP="003C77CA">
      <w:pPr>
        <w:rPr>
          <w:rFonts w:ascii="Arial" w:hAnsi="Arial"/>
          <w:sz w:val="20"/>
          <w:szCs w:val="20"/>
          <w:lang w:val="en-GB"/>
        </w:rPr>
      </w:pPr>
    </w:p>
    <w:p w14:paraId="6FB14E30" w14:textId="22D9BB41" w:rsidR="003C77CA" w:rsidRPr="00AB6AA7" w:rsidRDefault="003C77CA" w:rsidP="003C77CA">
      <w:pPr>
        <w:rPr>
          <w:rFonts w:ascii="Arial" w:hAnsi="Arial"/>
          <w:sz w:val="20"/>
          <w:szCs w:val="20"/>
          <w:lang w:val="en-GB"/>
        </w:rPr>
      </w:pPr>
      <w:r w:rsidRPr="00AB6AA7">
        <w:rPr>
          <w:rFonts w:ascii="Arial" w:hAnsi="Arial"/>
          <w:sz w:val="20"/>
          <w:szCs w:val="20"/>
          <w:lang w:val="en-GB"/>
        </w:rPr>
        <w:t>Public Prosecution Service of Canada.</w:t>
      </w:r>
      <w:r w:rsidR="009059F4">
        <w:rPr>
          <w:rFonts w:ascii="Arial" w:hAnsi="Arial"/>
          <w:sz w:val="20"/>
          <w:szCs w:val="20"/>
          <w:lang w:val="en-GB"/>
        </w:rPr>
        <w:t xml:space="preserve"> </w:t>
      </w:r>
      <w:r w:rsidRPr="00AB6AA7">
        <w:rPr>
          <w:rFonts w:ascii="Arial" w:hAnsi="Arial"/>
          <w:sz w:val="20"/>
          <w:szCs w:val="20"/>
          <w:lang w:val="en-GB"/>
        </w:rPr>
        <w:t>2014.</w:t>
      </w:r>
      <w:r w:rsidR="009059F4">
        <w:rPr>
          <w:rFonts w:ascii="Arial" w:hAnsi="Arial"/>
          <w:sz w:val="20"/>
          <w:szCs w:val="20"/>
          <w:lang w:val="en-GB"/>
        </w:rPr>
        <w:t xml:space="preserve"> </w:t>
      </w:r>
      <w:r w:rsidRPr="00AB6AA7">
        <w:rPr>
          <w:rFonts w:ascii="Arial" w:hAnsi="Arial"/>
          <w:i/>
          <w:iCs/>
          <w:sz w:val="20"/>
          <w:szCs w:val="20"/>
          <w:lang w:val="en-GB"/>
        </w:rPr>
        <w:t>Public Prosecution Service of Canada Deskbook</w:t>
      </w:r>
      <w:r w:rsidRPr="00AB6AA7">
        <w:rPr>
          <w:rFonts w:ascii="Arial" w:hAnsi="Arial"/>
          <w:sz w:val="20"/>
          <w:szCs w:val="20"/>
          <w:lang w:val="en-GB"/>
        </w:rPr>
        <w:t>.</w:t>
      </w:r>
      <w:r w:rsidR="009059F4">
        <w:rPr>
          <w:rFonts w:ascii="Arial" w:hAnsi="Arial"/>
          <w:sz w:val="20"/>
          <w:szCs w:val="20"/>
          <w:lang w:val="en-GB"/>
        </w:rPr>
        <w:t xml:space="preserve"> </w:t>
      </w:r>
      <w:r w:rsidRPr="00AB6AA7">
        <w:rPr>
          <w:rFonts w:ascii="Arial" w:hAnsi="Arial"/>
          <w:sz w:val="20"/>
          <w:szCs w:val="20"/>
          <w:lang w:val="en-GB"/>
        </w:rPr>
        <w:t xml:space="preserve">Online: </w:t>
      </w:r>
      <w:hyperlink r:id="rId9" w:history="1">
        <w:r w:rsidRPr="00AB6AA7">
          <w:rPr>
            <w:rStyle w:val="Lienhypertexte"/>
            <w:rFonts w:ascii="Arial" w:hAnsi="Arial"/>
            <w:sz w:val="20"/>
            <w:szCs w:val="20"/>
            <w:lang w:val="en-GB"/>
          </w:rPr>
          <w:t>http://www.ppsc-sppc.gc.ca/eng/pub/fpsd-sfpg/fps-sfp/tpd/index.html</w:t>
        </w:r>
      </w:hyperlink>
      <w:r w:rsidR="009059F4">
        <w:rPr>
          <w:rFonts w:ascii="Arial" w:hAnsi="Arial"/>
          <w:sz w:val="20"/>
          <w:szCs w:val="20"/>
          <w:lang w:val="en-GB"/>
        </w:rPr>
        <w:t xml:space="preserve"> </w:t>
      </w:r>
      <w:r w:rsidRPr="00AB6AA7">
        <w:rPr>
          <w:rFonts w:ascii="Arial" w:hAnsi="Arial"/>
          <w:sz w:val="20"/>
          <w:szCs w:val="20"/>
          <w:lang w:val="en-GB"/>
        </w:rPr>
        <w:t>(</w:t>
      </w:r>
      <w:r w:rsidRPr="00AB6AA7">
        <w:rPr>
          <w:rFonts w:ascii="Arial" w:hAnsi="Arial"/>
          <w:b/>
          <w:sz w:val="20"/>
          <w:szCs w:val="20"/>
          <w:lang w:val="en-GB"/>
        </w:rPr>
        <w:t>“</w:t>
      </w:r>
      <w:r w:rsidRPr="00AB6AA7">
        <w:rPr>
          <w:rFonts w:ascii="Arial" w:hAnsi="Arial"/>
          <w:b/>
          <w:i/>
          <w:iCs/>
          <w:sz w:val="20"/>
          <w:szCs w:val="20"/>
          <w:lang w:val="en-GB"/>
        </w:rPr>
        <w:t>Public Prosecution Deskbook”</w:t>
      </w:r>
      <w:r w:rsidRPr="00AB6AA7">
        <w:rPr>
          <w:rFonts w:ascii="Arial" w:hAnsi="Arial"/>
          <w:i/>
          <w:iCs/>
          <w:sz w:val="20"/>
          <w:szCs w:val="20"/>
          <w:lang w:val="en-GB"/>
        </w:rPr>
        <w:t>)</w:t>
      </w:r>
    </w:p>
    <w:sectPr w:rsidR="003C77CA" w:rsidRPr="00AB6AA7">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2C8F" w14:textId="77777777" w:rsidR="00BB172C" w:rsidRDefault="00BB172C" w:rsidP="00672223">
      <w:r>
        <w:separator/>
      </w:r>
    </w:p>
  </w:endnote>
  <w:endnote w:type="continuationSeparator" w:id="0">
    <w:p w14:paraId="63945A3A" w14:textId="77777777" w:rsidR="00BB172C" w:rsidRDefault="00BB172C" w:rsidP="0067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8B97" w14:textId="77777777" w:rsidR="003C77CA" w:rsidRDefault="003C77CA">
    <w:pPr>
      <w:pStyle w:val="Pieddepage"/>
    </w:pPr>
    <w:r>
      <w:rPr>
        <w:noProof/>
        <w:lang w:val="fr-CA" w:eastAsia="fr-CA" w:bidi="ar-SA"/>
      </w:rPr>
      <w:drawing>
        <wp:anchor distT="0" distB="0" distL="114300" distR="114300" simplePos="0" relativeHeight="251659264" behindDoc="0" locked="0" layoutInCell="1" allowOverlap="1" wp14:anchorId="01E09A4A" wp14:editId="208BA8E1">
          <wp:simplePos x="0" y="0"/>
          <wp:positionH relativeFrom="margin">
            <wp:align>center</wp:align>
          </wp:positionH>
          <wp:positionV relativeFrom="page">
            <wp:posOffset>9525000</wp:posOffset>
          </wp:positionV>
          <wp:extent cx="7452359" cy="28653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ngWatch address bar.tif"/>
                  <pic:cNvPicPr/>
                </pic:nvPicPr>
                <pic:blipFill>
                  <a:blip r:embed="rId1">
                    <a:extLst>
                      <a:ext uri="{28A0092B-C50C-407E-A947-70E740481C1C}">
                        <a14:useLocalDpi xmlns:a14="http://schemas.microsoft.com/office/drawing/2010/main" val="0"/>
                      </a:ext>
                    </a:extLst>
                  </a:blip>
                  <a:stretch>
                    <a:fillRect/>
                  </a:stretch>
                </pic:blipFill>
                <pic:spPr>
                  <a:xfrm>
                    <a:off x="0" y="0"/>
                    <a:ext cx="7452359" cy="286532"/>
                  </a:xfrm>
                  <a:prstGeom prst="rect">
                    <a:avLst/>
                  </a:prstGeom>
                </pic:spPr>
              </pic:pic>
            </a:graphicData>
          </a:graphic>
          <wp14:sizeRelH relativeFrom="margin">
            <wp14:pctWidth>0</wp14:pctWidth>
          </wp14:sizeRelH>
        </wp:anchor>
      </w:drawing>
    </w:r>
  </w:p>
  <w:p w14:paraId="23F6E94A" w14:textId="77777777" w:rsidR="003C77CA" w:rsidRDefault="003C77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69D2" w14:textId="77777777" w:rsidR="00BB172C" w:rsidRDefault="00BB172C" w:rsidP="00672223">
      <w:r>
        <w:separator/>
      </w:r>
    </w:p>
  </w:footnote>
  <w:footnote w:type="continuationSeparator" w:id="0">
    <w:p w14:paraId="009E6F9B" w14:textId="77777777" w:rsidR="00BB172C" w:rsidRDefault="00BB172C" w:rsidP="0067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063122"/>
      <w:docPartObj>
        <w:docPartGallery w:val="Page Numbers (Margins)"/>
        <w:docPartUnique/>
      </w:docPartObj>
    </w:sdtPr>
    <w:sdtEndPr/>
    <w:sdtContent>
      <w:p w14:paraId="2381BAF0" w14:textId="77777777" w:rsidR="008773A7" w:rsidRDefault="008773A7">
        <w:pPr>
          <w:pStyle w:val="En-tte"/>
        </w:pPr>
        <w:r>
          <w:rPr>
            <w:noProof/>
            <w:lang w:val="fr-CA" w:eastAsia="fr-CA" w:bidi="ar-SA"/>
          </w:rPr>
          <mc:AlternateContent>
            <mc:Choice Requires="wps">
              <w:drawing>
                <wp:anchor distT="0" distB="0" distL="114300" distR="114300" simplePos="0" relativeHeight="251661312" behindDoc="0" locked="0" layoutInCell="0" allowOverlap="1" wp14:anchorId="50808FAC" wp14:editId="6F148935">
                  <wp:simplePos x="0" y="0"/>
                  <wp:positionH relativeFrom="rightMargin">
                    <wp:align>center</wp:align>
                  </wp:positionH>
                  <wp:positionV relativeFrom="margin">
                    <wp:align>bottom</wp:align>
                  </wp:positionV>
                  <wp:extent cx="523875"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88B9" w14:textId="72B96863" w:rsidR="008773A7" w:rsidRDefault="008773A7">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BB172C" w:rsidRPr="00BB172C">
                                <w:rPr>
                                  <w:rFonts w:asciiTheme="majorHAnsi" w:eastAsiaTheme="majorEastAsia" w:hAnsiTheme="majorHAnsi" w:cstheme="majorBidi"/>
                                  <w:noProof/>
                                  <w:sz w:val="44"/>
                                  <w:szCs w:val="44"/>
                                  <w:lang w:val="fr-FR"/>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808FAC" id="Rectangle 1" o:spid="_x0000_s1026" style="position:absolute;margin-left:0;margin-top:0;width:41.2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oE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MkmqWL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PULmgS1AgAAtQUAAA4A&#10;AAAAAAAAAAAAAAAALgIAAGRycy9lMm9Eb2MueG1sUEsBAi0AFAAGAAgAAAAhAB/IdfHaAAAABAEA&#10;AA8AAAAAAAAAAAAAAAAADwUAAGRycy9kb3ducmV2LnhtbFBLBQYAAAAABAAEAPMAAAAWBgAAAAA=&#10;" o:allowincell="f" filled="f" stroked="f">
                  <v:textbox style="layout-flow:vertical;mso-layout-flow-alt:bottom-to-top;mso-fit-shape-to-text:t">
                    <w:txbxContent>
                      <w:p w14:paraId="28DA88B9" w14:textId="72B96863" w:rsidR="008773A7" w:rsidRDefault="008773A7">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BB172C" w:rsidRPr="00BB172C">
                          <w:rPr>
                            <w:rFonts w:asciiTheme="majorHAnsi" w:eastAsiaTheme="majorEastAsia" w:hAnsiTheme="majorHAnsi" w:cstheme="majorBidi"/>
                            <w:noProof/>
                            <w:sz w:val="44"/>
                            <w:szCs w:val="44"/>
                            <w:lang w:val="fr-FR"/>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color w:val="000000"/>
        <w:spacing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b w:val="0"/>
        <w:bCs w:val="0"/>
        <w:i w:val="0"/>
        <w:iCs w:val="0"/>
        <w:caps w:val="0"/>
        <w:smallCaps w:val="0"/>
        <w:color w:val="000000"/>
        <w:position w:val="0"/>
        <w:sz w:val="24"/>
        <w:vertAlign w:val="baseline"/>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caps w:val="0"/>
        <w:smallCaps w:val="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aps w:val="0"/>
        <w:smallCaps w:val="0"/>
        <w:position w:val="0"/>
        <w:sz w:val="24"/>
        <w:vertAlign w:val="baseline"/>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b w:val="0"/>
        <w:bCs w:val="0"/>
        <w:caps w:val="0"/>
        <w:smallCaps w:val="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24147B"/>
    <w:multiLevelType w:val="hybridMultilevel"/>
    <w:tmpl w:val="B85AECCE"/>
    <w:lvl w:ilvl="0" w:tplc="4B86A41E">
      <w:numFmt w:val="bullet"/>
      <w:lvlText w:val="-"/>
      <w:lvlJc w:val="left"/>
      <w:pPr>
        <w:ind w:left="720" w:hanging="360"/>
      </w:pPr>
      <w:rPr>
        <w:rFonts w:ascii="Calibri" w:eastAsia="Calibri" w:hAnsi="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09FB221C"/>
    <w:multiLevelType w:val="hybridMultilevel"/>
    <w:tmpl w:val="78EEDEF4"/>
    <w:lvl w:ilvl="0" w:tplc="FA04327E">
      <w:numFmt w:val="bullet"/>
      <w:lvlText w:val="•"/>
      <w:lvlJc w:val="left"/>
      <w:pPr>
        <w:ind w:left="820" w:hanging="460"/>
      </w:pPr>
      <w:rPr>
        <w:rFonts w:ascii="Arial" w:eastAsia="SimSu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0AD06D62"/>
    <w:multiLevelType w:val="hybridMultilevel"/>
    <w:tmpl w:val="D39A52A8"/>
    <w:lvl w:ilvl="0" w:tplc="10090001">
      <w:start w:val="1"/>
      <w:numFmt w:val="bullet"/>
      <w:lvlText w:val=""/>
      <w:lvlJc w:val="left"/>
      <w:pPr>
        <w:ind w:left="720" w:hanging="360"/>
      </w:pPr>
      <w:rPr>
        <w:rFonts w:ascii="Symbol" w:hAnsi="Symbol" w:hint="default"/>
      </w:rPr>
    </w:lvl>
    <w:lvl w:ilvl="1" w:tplc="5330DECC">
      <w:numFmt w:val="bullet"/>
      <w:lvlText w:val="•"/>
      <w:lvlJc w:val="left"/>
      <w:pPr>
        <w:ind w:left="1800" w:hanging="72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B6252BC"/>
    <w:multiLevelType w:val="hybridMultilevel"/>
    <w:tmpl w:val="0FCA1A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0966CA4"/>
    <w:multiLevelType w:val="hybridMultilevel"/>
    <w:tmpl w:val="199CCDA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12F61D8"/>
    <w:multiLevelType w:val="hybridMultilevel"/>
    <w:tmpl w:val="DFF431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E636105"/>
    <w:multiLevelType w:val="hybridMultilevel"/>
    <w:tmpl w:val="B21E9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1700377"/>
    <w:multiLevelType w:val="hybridMultilevel"/>
    <w:tmpl w:val="35881C9E"/>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23" w15:restartNumberingAfterBreak="0">
    <w:nsid w:val="2241606E"/>
    <w:multiLevelType w:val="hybridMultilevel"/>
    <w:tmpl w:val="51CC5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77157C9"/>
    <w:multiLevelType w:val="hybridMultilevel"/>
    <w:tmpl w:val="E7D8FB42"/>
    <w:lvl w:ilvl="0" w:tplc="0C0C0001">
      <w:start w:val="1"/>
      <w:numFmt w:val="bullet"/>
      <w:lvlText w:val=""/>
      <w:lvlJc w:val="left"/>
      <w:pPr>
        <w:ind w:left="820" w:hanging="4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ED0230E"/>
    <w:multiLevelType w:val="hybridMultilevel"/>
    <w:tmpl w:val="02DC1ED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13C00A1"/>
    <w:multiLevelType w:val="hybridMultilevel"/>
    <w:tmpl w:val="C0BED174"/>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27" w15:restartNumberingAfterBreak="0">
    <w:nsid w:val="316A6EDC"/>
    <w:multiLevelType w:val="hybridMultilevel"/>
    <w:tmpl w:val="6122EDCC"/>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8" w15:restartNumberingAfterBreak="0">
    <w:nsid w:val="3793546F"/>
    <w:multiLevelType w:val="hybridMultilevel"/>
    <w:tmpl w:val="D794DA92"/>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FD97F9F"/>
    <w:multiLevelType w:val="hybridMultilevel"/>
    <w:tmpl w:val="7FC2A2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9F440A6"/>
    <w:multiLevelType w:val="hybridMultilevel"/>
    <w:tmpl w:val="C948549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1" w15:restartNumberingAfterBreak="0">
    <w:nsid w:val="5D1C35F3"/>
    <w:multiLevelType w:val="hybridMultilevel"/>
    <w:tmpl w:val="E7402E90"/>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C2E653C"/>
    <w:multiLevelType w:val="hybridMultilevel"/>
    <w:tmpl w:val="EC46CDC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3" w15:restartNumberingAfterBreak="0">
    <w:nsid w:val="7DBD107E"/>
    <w:multiLevelType w:val="hybridMultilevel"/>
    <w:tmpl w:val="6F743C3C"/>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25"/>
  </w:num>
  <w:num w:numId="4">
    <w:abstractNumId w:val="28"/>
  </w:num>
  <w:num w:numId="5">
    <w:abstractNumId w:val="31"/>
  </w:num>
  <w:num w:numId="6">
    <w:abstractNumId w:val="1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26"/>
  </w:num>
  <w:num w:numId="11">
    <w:abstractNumId w:val="22"/>
  </w:num>
  <w:num w:numId="12">
    <w:abstractNumId w:val="23"/>
  </w:num>
  <w:num w:numId="13">
    <w:abstractNumId w:val="30"/>
  </w:num>
  <w:num w:numId="14">
    <w:abstractNumId w:val="27"/>
  </w:num>
  <w:num w:numId="15">
    <w:abstractNumId w:val="32"/>
  </w:num>
  <w:num w:numId="16">
    <w:abstractNumId w:val="19"/>
  </w:num>
  <w:num w:numId="17">
    <w:abstractNumId w:val="20"/>
  </w:num>
  <w:num w:numId="18">
    <w:abstractNumId w:val="16"/>
  </w:num>
  <w:num w:numId="1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9F"/>
    <w:rsid w:val="00010610"/>
    <w:rsid w:val="00012C77"/>
    <w:rsid w:val="00014508"/>
    <w:rsid w:val="00036465"/>
    <w:rsid w:val="0008096D"/>
    <w:rsid w:val="000B4CDA"/>
    <w:rsid w:val="000C1567"/>
    <w:rsid w:val="000D24FD"/>
    <w:rsid w:val="000D4589"/>
    <w:rsid w:val="0012281D"/>
    <w:rsid w:val="001528F7"/>
    <w:rsid w:val="001628D7"/>
    <w:rsid w:val="001D1829"/>
    <w:rsid w:val="001D6704"/>
    <w:rsid w:val="002044EA"/>
    <w:rsid w:val="002146B6"/>
    <w:rsid w:val="00254E74"/>
    <w:rsid w:val="0026442A"/>
    <w:rsid w:val="00293906"/>
    <w:rsid w:val="002C7C87"/>
    <w:rsid w:val="002E03EE"/>
    <w:rsid w:val="002E18B6"/>
    <w:rsid w:val="00333B12"/>
    <w:rsid w:val="0037013B"/>
    <w:rsid w:val="003721B3"/>
    <w:rsid w:val="0038093B"/>
    <w:rsid w:val="003917CC"/>
    <w:rsid w:val="0039429F"/>
    <w:rsid w:val="003C77CA"/>
    <w:rsid w:val="003D2C71"/>
    <w:rsid w:val="003E0416"/>
    <w:rsid w:val="003E7790"/>
    <w:rsid w:val="003F0458"/>
    <w:rsid w:val="004028AC"/>
    <w:rsid w:val="004329B5"/>
    <w:rsid w:val="0044737B"/>
    <w:rsid w:val="00453E1D"/>
    <w:rsid w:val="00484387"/>
    <w:rsid w:val="004B09BB"/>
    <w:rsid w:val="004C7B0A"/>
    <w:rsid w:val="004D3928"/>
    <w:rsid w:val="004F1839"/>
    <w:rsid w:val="00506E19"/>
    <w:rsid w:val="0051313B"/>
    <w:rsid w:val="00517890"/>
    <w:rsid w:val="00567FAB"/>
    <w:rsid w:val="005E549B"/>
    <w:rsid w:val="005F0B23"/>
    <w:rsid w:val="005F282F"/>
    <w:rsid w:val="005F5D3A"/>
    <w:rsid w:val="006069B2"/>
    <w:rsid w:val="00631688"/>
    <w:rsid w:val="00672223"/>
    <w:rsid w:val="006D56BD"/>
    <w:rsid w:val="006F47E1"/>
    <w:rsid w:val="006F659F"/>
    <w:rsid w:val="00702414"/>
    <w:rsid w:val="0070772C"/>
    <w:rsid w:val="0073029F"/>
    <w:rsid w:val="00730C55"/>
    <w:rsid w:val="00757F17"/>
    <w:rsid w:val="00760689"/>
    <w:rsid w:val="0077088B"/>
    <w:rsid w:val="00790A82"/>
    <w:rsid w:val="00820B59"/>
    <w:rsid w:val="00824C10"/>
    <w:rsid w:val="008475E6"/>
    <w:rsid w:val="00875B15"/>
    <w:rsid w:val="008773A7"/>
    <w:rsid w:val="00880D84"/>
    <w:rsid w:val="008E17B2"/>
    <w:rsid w:val="008F2366"/>
    <w:rsid w:val="008F778A"/>
    <w:rsid w:val="009059F4"/>
    <w:rsid w:val="00912610"/>
    <w:rsid w:val="009437D1"/>
    <w:rsid w:val="009860DB"/>
    <w:rsid w:val="00991D1E"/>
    <w:rsid w:val="0099566D"/>
    <w:rsid w:val="009E0C8D"/>
    <w:rsid w:val="009F2C32"/>
    <w:rsid w:val="009F50D9"/>
    <w:rsid w:val="00A13A86"/>
    <w:rsid w:val="00A42DC6"/>
    <w:rsid w:val="00A52616"/>
    <w:rsid w:val="00A74553"/>
    <w:rsid w:val="00A81876"/>
    <w:rsid w:val="00AB55A3"/>
    <w:rsid w:val="00AB6AA7"/>
    <w:rsid w:val="00AF1E77"/>
    <w:rsid w:val="00B22DBB"/>
    <w:rsid w:val="00B232A2"/>
    <w:rsid w:val="00B41DF9"/>
    <w:rsid w:val="00B72A75"/>
    <w:rsid w:val="00B80BE6"/>
    <w:rsid w:val="00B843C8"/>
    <w:rsid w:val="00B97675"/>
    <w:rsid w:val="00BB172C"/>
    <w:rsid w:val="00BC4B5D"/>
    <w:rsid w:val="00C018EC"/>
    <w:rsid w:val="00C27F05"/>
    <w:rsid w:val="00C74EFB"/>
    <w:rsid w:val="00C77248"/>
    <w:rsid w:val="00CB4FE8"/>
    <w:rsid w:val="00CD4BA8"/>
    <w:rsid w:val="00CF683D"/>
    <w:rsid w:val="00D02919"/>
    <w:rsid w:val="00D24EFE"/>
    <w:rsid w:val="00D42855"/>
    <w:rsid w:val="00D56B9F"/>
    <w:rsid w:val="00DC5F12"/>
    <w:rsid w:val="00DF317A"/>
    <w:rsid w:val="00E1081B"/>
    <w:rsid w:val="00E31DA7"/>
    <w:rsid w:val="00E662F0"/>
    <w:rsid w:val="00E66E0B"/>
    <w:rsid w:val="00E74A26"/>
    <w:rsid w:val="00E76424"/>
    <w:rsid w:val="00E81B25"/>
    <w:rsid w:val="00EC4426"/>
    <w:rsid w:val="00EC692D"/>
    <w:rsid w:val="00EC7226"/>
    <w:rsid w:val="00ED15D6"/>
    <w:rsid w:val="00EE3070"/>
    <w:rsid w:val="00EF58BF"/>
    <w:rsid w:val="00F02C0B"/>
    <w:rsid w:val="00F049F5"/>
    <w:rsid w:val="00F63841"/>
    <w:rsid w:val="00F74397"/>
    <w:rsid w:val="00FB3D17"/>
    <w:rsid w:val="00FD4C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D20C0"/>
  <w15:chartTrackingRefBased/>
  <w15:docId w15:val="{FFC8A633-5C74-4E06-A093-C7BCF036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2223"/>
    <w:pPr>
      <w:widowControl w:val="0"/>
      <w:suppressAutoHyphens/>
      <w:spacing w:after="0" w:line="240" w:lineRule="auto"/>
    </w:pPr>
    <w:rPr>
      <w:rFonts w:ascii="Times New Roman" w:eastAsia="SimSun" w:hAnsi="Times New Roman" w:cs="Arial"/>
      <w:kern w:val="1"/>
      <w:sz w:val="24"/>
      <w:szCs w:val="24"/>
      <w:lang w:val="en-US" w:eastAsia="hi-IN" w:bidi="hi-IN"/>
    </w:rPr>
  </w:style>
  <w:style w:type="paragraph" w:styleId="Titre1">
    <w:name w:val="heading 1"/>
    <w:basedOn w:val="Normal"/>
    <w:next w:val="Normal"/>
    <w:link w:val="Titre1Car"/>
    <w:uiPriority w:val="9"/>
    <w:qFormat/>
    <w:rsid w:val="00E81B25"/>
    <w:pPr>
      <w:keepNext/>
      <w:keepLines/>
      <w:spacing w:before="240"/>
      <w:outlineLvl w:val="0"/>
    </w:pPr>
    <w:rPr>
      <w:rFonts w:ascii="Arial" w:eastAsiaTheme="majorEastAsia" w:hAnsi="Arial" w:cs="Mangal"/>
      <w:b/>
      <w:sz w:val="48"/>
      <w:szCs w:val="29"/>
    </w:rPr>
  </w:style>
  <w:style w:type="paragraph" w:styleId="Titre2">
    <w:name w:val="heading 2"/>
    <w:basedOn w:val="Normal"/>
    <w:next w:val="Normal"/>
    <w:link w:val="Titre2Car"/>
    <w:uiPriority w:val="9"/>
    <w:unhideWhenUsed/>
    <w:qFormat/>
    <w:rsid w:val="00E81B25"/>
    <w:pPr>
      <w:keepNext/>
      <w:keepLines/>
      <w:spacing w:before="40"/>
      <w:outlineLvl w:val="1"/>
    </w:pPr>
    <w:rPr>
      <w:rFonts w:ascii="Arial" w:eastAsiaTheme="majorEastAsia" w:hAnsi="Arial" w:cs="Mangal"/>
      <w:b/>
      <w:sz w:val="32"/>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Characters">
    <w:name w:val="Footnote Characters"/>
    <w:rsid w:val="00672223"/>
  </w:style>
  <w:style w:type="character" w:styleId="Appelnotedebasdep">
    <w:name w:val="footnote reference"/>
    <w:uiPriority w:val="99"/>
    <w:rsid w:val="00672223"/>
    <w:rPr>
      <w:vertAlign w:val="superscript"/>
    </w:rPr>
  </w:style>
  <w:style w:type="character" w:customStyle="1" w:styleId="Definition">
    <w:name w:val="Definition"/>
    <w:rsid w:val="00672223"/>
  </w:style>
  <w:style w:type="character" w:styleId="Lienhypertexte">
    <w:name w:val="Hyperlink"/>
    <w:uiPriority w:val="99"/>
    <w:rsid w:val="00672223"/>
    <w:rPr>
      <w:color w:val="000080"/>
      <w:u w:val="single"/>
    </w:rPr>
  </w:style>
  <w:style w:type="paragraph" w:styleId="Corpsdetexte">
    <w:name w:val="Body Text"/>
    <w:basedOn w:val="Normal"/>
    <w:link w:val="CorpsdetexteCar"/>
    <w:rsid w:val="00672223"/>
    <w:pPr>
      <w:spacing w:after="120"/>
    </w:pPr>
  </w:style>
  <w:style w:type="character" w:customStyle="1" w:styleId="CorpsdetexteCar">
    <w:name w:val="Corps de texte Car"/>
    <w:basedOn w:val="Policepardfaut"/>
    <w:link w:val="Corpsdetexte"/>
    <w:rsid w:val="00672223"/>
    <w:rPr>
      <w:rFonts w:ascii="Times New Roman" w:eastAsia="SimSun" w:hAnsi="Times New Roman" w:cs="Arial"/>
      <w:kern w:val="1"/>
      <w:sz w:val="24"/>
      <w:szCs w:val="24"/>
      <w:lang w:val="en-US" w:eastAsia="hi-IN" w:bidi="hi-IN"/>
    </w:rPr>
  </w:style>
  <w:style w:type="paragraph" w:styleId="Notedebasdepage">
    <w:name w:val="footnote text"/>
    <w:basedOn w:val="Normal"/>
    <w:link w:val="NotedebasdepageCar"/>
    <w:uiPriority w:val="99"/>
    <w:rsid w:val="00672223"/>
    <w:pPr>
      <w:suppressLineNumbers/>
      <w:ind w:left="283" w:hanging="283"/>
    </w:pPr>
    <w:rPr>
      <w:sz w:val="20"/>
      <w:szCs w:val="20"/>
    </w:rPr>
  </w:style>
  <w:style w:type="character" w:customStyle="1" w:styleId="NotedebasdepageCar">
    <w:name w:val="Note de bas de page Car"/>
    <w:basedOn w:val="Policepardfaut"/>
    <w:link w:val="Notedebasdepage"/>
    <w:uiPriority w:val="99"/>
    <w:rsid w:val="00672223"/>
    <w:rPr>
      <w:rFonts w:ascii="Times New Roman" w:eastAsia="SimSun" w:hAnsi="Times New Roman" w:cs="Arial"/>
      <w:kern w:val="1"/>
      <w:sz w:val="20"/>
      <w:szCs w:val="20"/>
      <w:lang w:val="en-US" w:eastAsia="hi-IN" w:bidi="hi-IN"/>
    </w:rPr>
  </w:style>
  <w:style w:type="paragraph" w:customStyle="1" w:styleId="ContentsHeading">
    <w:name w:val="Contents Heading"/>
    <w:basedOn w:val="Normal"/>
    <w:rsid w:val="00672223"/>
    <w:pPr>
      <w:keepNext/>
      <w:suppressLineNumbers/>
      <w:spacing w:before="240" w:after="120"/>
    </w:pPr>
    <w:rPr>
      <w:rFonts w:ascii="Arial" w:eastAsia="Microsoft YaHei" w:hAnsi="Arial"/>
      <w:b/>
      <w:bCs/>
      <w:sz w:val="32"/>
      <w:szCs w:val="32"/>
    </w:rPr>
  </w:style>
  <w:style w:type="paragraph" w:customStyle="1" w:styleId="TOC1">
    <w:name w:val="TOC1"/>
    <w:basedOn w:val="Normal"/>
    <w:rsid w:val="00672223"/>
    <w:rPr>
      <w:b/>
      <w:bCs/>
      <w:color w:val="000000"/>
      <w:u w:val="single"/>
    </w:rPr>
  </w:style>
  <w:style w:type="paragraph" w:styleId="TM1">
    <w:name w:val="toc 1"/>
    <w:basedOn w:val="Normal"/>
    <w:uiPriority w:val="39"/>
    <w:rsid w:val="00672223"/>
    <w:pPr>
      <w:suppressLineNumbers/>
      <w:tabs>
        <w:tab w:val="right" w:leader="dot" w:pos="9972"/>
      </w:tabs>
    </w:pPr>
  </w:style>
  <w:style w:type="paragraph" w:customStyle="1" w:styleId="TOC2">
    <w:name w:val="TOC2"/>
    <w:basedOn w:val="Normal"/>
    <w:rsid w:val="00672223"/>
    <w:rPr>
      <w:rFonts w:cs="Times New Roman"/>
      <w:color w:val="000000"/>
      <w:u w:val="single"/>
    </w:rPr>
  </w:style>
  <w:style w:type="paragraph" w:styleId="TM2">
    <w:name w:val="toc 2"/>
    <w:basedOn w:val="Normal"/>
    <w:uiPriority w:val="39"/>
    <w:rsid w:val="00672223"/>
    <w:pPr>
      <w:suppressLineNumbers/>
      <w:tabs>
        <w:tab w:val="right" w:leader="dot" w:pos="9689"/>
      </w:tabs>
      <w:ind w:left="283"/>
    </w:pPr>
  </w:style>
  <w:style w:type="paragraph" w:styleId="Paragraphedeliste">
    <w:name w:val="List Paragraph"/>
    <w:basedOn w:val="Normal"/>
    <w:uiPriority w:val="34"/>
    <w:qFormat/>
    <w:rsid w:val="00E74A26"/>
    <w:pPr>
      <w:ind w:left="720"/>
      <w:contextualSpacing/>
    </w:pPr>
    <w:rPr>
      <w:rFonts w:cs="Mangal"/>
      <w:szCs w:val="21"/>
    </w:rPr>
  </w:style>
  <w:style w:type="character" w:customStyle="1" w:styleId="Titre1Car">
    <w:name w:val="Titre 1 Car"/>
    <w:basedOn w:val="Policepardfaut"/>
    <w:link w:val="Titre1"/>
    <w:uiPriority w:val="9"/>
    <w:rsid w:val="00E81B25"/>
    <w:rPr>
      <w:rFonts w:ascii="Arial" w:eastAsiaTheme="majorEastAsia" w:hAnsi="Arial" w:cs="Mangal"/>
      <w:b/>
      <w:kern w:val="1"/>
      <w:sz w:val="48"/>
      <w:szCs w:val="29"/>
      <w:lang w:val="en-US" w:eastAsia="hi-IN" w:bidi="hi-IN"/>
    </w:rPr>
  </w:style>
  <w:style w:type="character" w:customStyle="1" w:styleId="Titre2Car">
    <w:name w:val="Titre 2 Car"/>
    <w:basedOn w:val="Policepardfaut"/>
    <w:link w:val="Titre2"/>
    <w:uiPriority w:val="9"/>
    <w:rsid w:val="00E81B25"/>
    <w:rPr>
      <w:rFonts w:ascii="Arial" w:eastAsiaTheme="majorEastAsia" w:hAnsi="Arial" w:cs="Mangal"/>
      <w:b/>
      <w:kern w:val="1"/>
      <w:sz w:val="32"/>
      <w:szCs w:val="23"/>
      <w:lang w:val="en-US" w:eastAsia="hi-IN" w:bidi="hi-IN"/>
    </w:rPr>
  </w:style>
  <w:style w:type="paragraph" w:styleId="En-tte">
    <w:name w:val="header"/>
    <w:basedOn w:val="Normal"/>
    <w:link w:val="En-tteCar"/>
    <w:uiPriority w:val="99"/>
    <w:unhideWhenUsed/>
    <w:rsid w:val="003C77CA"/>
    <w:pPr>
      <w:tabs>
        <w:tab w:val="center" w:pos="4680"/>
        <w:tab w:val="right" w:pos="9360"/>
      </w:tabs>
    </w:pPr>
    <w:rPr>
      <w:rFonts w:cs="Mangal"/>
      <w:szCs w:val="21"/>
    </w:rPr>
  </w:style>
  <w:style w:type="character" w:customStyle="1" w:styleId="En-tteCar">
    <w:name w:val="En-tête Car"/>
    <w:basedOn w:val="Policepardfaut"/>
    <w:link w:val="En-tte"/>
    <w:uiPriority w:val="99"/>
    <w:rsid w:val="003C77CA"/>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3C77CA"/>
    <w:pPr>
      <w:tabs>
        <w:tab w:val="center" w:pos="4680"/>
        <w:tab w:val="right" w:pos="9360"/>
      </w:tabs>
    </w:pPr>
    <w:rPr>
      <w:rFonts w:cs="Mangal"/>
      <w:szCs w:val="21"/>
    </w:rPr>
  </w:style>
  <w:style w:type="character" w:customStyle="1" w:styleId="PieddepageCar">
    <w:name w:val="Pied de page Car"/>
    <w:basedOn w:val="Policepardfaut"/>
    <w:link w:val="Pieddepage"/>
    <w:uiPriority w:val="99"/>
    <w:rsid w:val="003C77CA"/>
    <w:rPr>
      <w:rFonts w:ascii="Times New Roman" w:eastAsia="SimSun" w:hAnsi="Times New Roman" w:cs="Mangal"/>
      <w:kern w:val="1"/>
      <w:sz w:val="24"/>
      <w:szCs w:val="21"/>
      <w:lang w:val="en-US" w:eastAsia="hi-IN" w:bidi="hi-IN"/>
    </w:rPr>
  </w:style>
  <w:style w:type="paragraph" w:styleId="En-ttedetabledesmatires">
    <w:name w:val="TOC Heading"/>
    <w:basedOn w:val="Titre1"/>
    <w:next w:val="Normal"/>
    <w:uiPriority w:val="39"/>
    <w:unhideWhenUsed/>
    <w:qFormat/>
    <w:rsid w:val="008773A7"/>
    <w:pPr>
      <w:widowControl/>
      <w:suppressAutoHyphens w:val="0"/>
      <w:spacing w:line="259" w:lineRule="auto"/>
      <w:outlineLvl w:val="9"/>
    </w:pPr>
    <w:rPr>
      <w:rFonts w:asciiTheme="majorHAnsi" w:hAnsiTheme="majorHAnsi" w:cstheme="majorBidi"/>
      <w:b w:val="0"/>
      <w:color w:val="2E74B5" w:themeColor="accent1" w:themeShade="BF"/>
      <w:kern w:val="0"/>
      <w:sz w:val="32"/>
      <w:szCs w:val="32"/>
      <w:lang w:val="fr-CA" w:eastAsia="fr-CA" w:bidi="ar-SA"/>
    </w:rPr>
  </w:style>
  <w:style w:type="paragraph" w:styleId="Textedebulles">
    <w:name w:val="Balloon Text"/>
    <w:basedOn w:val="Normal"/>
    <w:link w:val="TextedebullesCar"/>
    <w:uiPriority w:val="99"/>
    <w:semiHidden/>
    <w:unhideWhenUsed/>
    <w:rsid w:val="00254E74"/>
    <w:rPr>
      <w:rFonts w:cs="Mangal"/>
      <w:sz w:val="18"/>
      <w:szCs w:val="16"/>
    </w:rPr>
  </w:style>
  <w:style w:type="character" w:customStyle="1" w:styleId="TextedebullesCar">
    <w:name w:val="Texte de bulles Car"/>
    <w:basedOn w:val="Policepardfaut"/>
    <w:link w:val="Textedebulles"/>
    <w:uiPriority w:val="99"/>
    <w:semiHidden/>
    <w:rsid w:val="00254E74"/>
    <w:rPr>
      <w:rFonts w:ascii="Times New Roman" w:eastAsia="SimSun" w:hAnsi="Times New Roman" w:cs="Mangal"/>
      <w:kern w:val="1"/>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17420">
      <w:bodyDiv w:val="1"/>
      <w:marLeft w:val="0"/>
      <w:marRight w:val="0"/>
      <w:marTop w:val="0"/>
      <w:marBottom w:val="0"/>
      <w:divBdr>
        <w:top w:val="none" w:sz="0" w:space="0" w:color="auto"/>
        <w:left w:val="none" w:sz="0" w:space="0" w:color="auto"/>
        <w:bottom w:val="none" w:sz="0" w:space="0" w:color="auto"/>
        <w:right w:val="none" w:sz="0" w:space="0" w:color="auto"/>
      </w:divBdr>
    </w:div>
    <w:div w:id="609971308">
      <w:bodyDiv w:val="1"/>
      <w:marLeft w:val="0"/>
      <w:marRight w:val="0"/>
      <w:marTop w:val="0"/>
      <w:marBottom w:val="0"/>
      <w:divBdr>
        <w:top w:val="none" w:sz="0" w:space="0" w:color="auto"/>
        <w:left w:val="none" w:sz="0" w:space="0" w:color="auto"/>
        <w:bottom w:val="none" w:sz="0" w:space="0" w:color="auto"/>
        <w:right w:val="none" w:sz="0" w:space="0" w:color="auto"/>
      </w:divBdr>
    </w:div>
    <w:div w:id="10017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o-mpo.gc.ca/pnw-ppe/pol/index-e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sc-sppc.gc.ca/eng/pub/fpsd-sfpg/fps-sfp/tpd/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6552</Words>
  <Characters>36038</Characters>
  <Application>Microsoft Office Word</Application>
  <DocSecurity>0</DocSecurity>
  <Lines>300</Lines>
  <Paragraphs>85</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vt:lpstr>
      <vt:lpstr>The Lawsuit</vt:lpstr>
      <vt:lpstr>    Summary</vt:lpstr>
      <vt:lpstr>    The Lawyers</vt:lpstr>
      <vt:lpstr>    1. Factual Background</vt:lpstr>
      <vt:lpstr>    2. Section 35(1) Fisheries Act: ‘Serious Harm to Fish’</vt:lpstr>
      <vt:lpstr>    3. Section 36(3) Fisheries Act: ‘Deleterious Substances’</vt:lpstr>
      <vt:lpstr>    4. Section 78.6 Fisheries Act: ‘Defense Defence of Due Diligence’?</vt:lpstr>
      <vt:lpstr>    5. The BC Government as Co-responsible for the Spill?</vt:lpstr>
      <vt:lpstr>    6. Private Prosecution under the Fisheries Act</vt:lpstr>
      <vt:lpstr>    7. Potential Sanctions &amp; Penalties</vt:lpstr>
      <vt:lpstr>    8. Main References</vt:lpstr>
    </vt:vector>
  </TitlesOfParts>
  <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dc:creator>
  <cp:keywords/>
  <dc:description/>
  <cp:lastModifiedBy>Ugo</cp:lastModifiedBy>
  <cp:revision>5</cp:revision>
  <dcterms:created xsi:type="dcterms:W3CDTF">2016-10-18T06:26:00Z</dcterms:created>
  <dcterms:modified xsi:type="dcterms:W3CDTF">2016-10-18T15:04:00Z</dcterms:modified>
</cp:coreProperties>
</file>